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headerReference w:type="default" r:id="rId3"/>
          <w:footerReference w:type="default" r:id="rId4"/>
          <w:type w:val="nextPage"/>
          <w:pgSz w:w="11906" w:h="16838"/>
          <w:pgMar w:left="1417" w:right="1417" w:gutter="0" w:header="709" w:top="1134" w:footer="709" w:bottom="1134"/>
          <w:pgNumType w:start="0" w:fmt="decimal"/>
          <w:formProt w:val="false"/>
          <w:textDirection w:val="lrTb"/>
          <w:docGrid w:type="default" w:linePitch="360" w:charSpace="0"/>
        </w:sectPr>
        <w:pStyle w:val="Pagedecouverture"/>
        <w:rPr>
          <w:lang w:val="en-US" w:eastAsia="en-US"/>
        </w:rPr>
      </w:pPr>
      <w:bookmarkStart w:id="0" w:name="LW_BM_COVERPAGE"/>
      <w:bookmarkEnd w:id="0"/>
      <w:r>
        <w:rPr>
          <w:lang w:val="en-US" w:eastAsia="en-US"/>
        </w:rPr>
        <w:drawing>
          <wp:inline distT="0" distB="0" distL="0" distR="0">
            <wp:extent cx="5779770" cy="486537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7" r="-6" b="-7"/>
                    <a:stretch>
                      <a:fillRect/>
                    </a:stretch>
                  </pic:blipFill>
                  <pic:spPr bwMode="auto">
                    <a:xfrm>
                      <a:off x="0" y="0"/>
                      <a:ext cx="5779770" cy="4865370"/>
                    </a:xfrm>
                    <a:prstGeom prst="rect">
                      <a:avLst/>
                    </a:prstGeom>
                  </pic:spPr>
                </pic:pic>
              </a:graphicData>
            </a:graphic>
          </wp:inline>
        </w:drawing>
      </w:r>
    </w:p>
    <w:p>
      <w:pPr>
        <w:pStyle w:val="Normal"/>
        <w:spacing w:lineRule="auto" w:line="240" w:before="120" w:after="120"/>
        <w:jc w:val="center"/>
        <w:rPr>
          <w:rFonts w:ascii="Times New Roman" w:hAnsi="Times New Roman" w:cs="Times New Roman"/>
          <w:b/>
          <w:sz w:val="24"/>
          <w:u w:val="single"/>
          <w:lang w:val="en-US" w:eastAsia="en-US"/>
        </w:rPr>
      </w:pPr>
      <w:bookmarkStart w:id="1" w:name="LW_BM_COVERPAGE"/>
      <w:bookmarkEnd w:id="1"/>
      <w:r>
        <w:rPr>
          <w:rFonts w:cs="Times New Roman" w:ascii="Times New Roman" w:hAnsi="Times New Roman"/>
          <w:b/>
          <w:sz w:val="24"/>
          <w:u w:val="single"/>
          <w:lang w:val="en-US" w:eastAsia="en-US"/>
        </w:rPr>
        <w:t xml:space="preserve">ANNEX </w:t>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r>
    </w:p>
    <w:p>
      <w:pPr>
        <w:pStyle w:val="Normal"/>
        <w:spacing w:lineRule="auto" w:line="240" w:before="120" w:after="120"/>
        <w:jc w:val="center"/>
        <w:rPr>
          <w:rFonts w:ascii="Times New Roman" w:hAnsi="Times New Roman" w:cs="Times New Roman"/>
          <w:b/>
          <w:sz w:val="24"/>
          <w:lang w:val="en-US" w:eastAsia="en-US"/>
        </w:rPr>
      </w:pPr>
      <w:r>
        <w:rPr>
          <w:rFonts w:cs="Times New Roman" w:ascii="Times New Roman" w:hAnsi="Times New Roman"/>
          <w:b/>
          <w:sz w:val="24"/>
          <w:lang w:val="en-US" w:eastAsia="en-US"/>
        </w:rPr>
        <w:t>STANDARD CONTRACTUAL CLAUSES</w:t>
      </w:r>
    </w:p>
    <w:p>
      <w:pPr>
        <w:pStyle w:val="Normal"/>
        <w:spacing w:lineRule="auto" w:line="240" w:before="120" w:after="120"/>
        <w:jc w:val="center"/>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SECTION I</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w:t>
      </w:r>
    </w:p>
    <w:p>
      <w:pPr>
        <w:pStyle w:val="Normal"/>
        <w:keepNext w:val="true"/>
        <w:spacing w:lineRule="auto" w:line="240" w:before="120" w:after="12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Purpose and scope </w:t>
      </w:r>
    </w:p>
    <w:p>
      <w:pPr>
        <w:pStyle w:val="Normal"/>
        <w:numPr>
          <w:ilvl w:val="1"/>
          <w:numId w:val="23"/>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w:t>
      </w:r>
      <w:r>
        <w:rPr>
          <w:rStyle w:val="FootnoteReference"/>
          <w:rFonts w:cs="Times New Roman" w:ascii="Times New Roman" w:hAnsi="Times New Roman"/>
          <w:sz w:val="24"/>
          <w:vertAlign w:val="superscript"/>
          <w:lang w:val="en-US" w:eastAsia="en-US"/>
        </w:rPr>
        <w:footnoteReference w:id="2"/>
      </w:r>
      <w:r>
        <w:rPr>
          <w:rFonts w:cs="Times New Roman" w:ascii="Times New Roman" w:hAnsi="Times New Roman"/>
          <w:sz w:val="24"/>
          <w:lang w:val="en-US" w:eastAsia="en-US"/>
        </w:rPr>
        <w:t xml:space="preserve"> for the transfer of personal data to a third country.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natural or legal person(s), public authority/ies, agency/ies or other body/ies (hereinafter “entity/ies”) transferring the personal data, as listed in Annex I.A. (hereinafter each “data exporter”), and</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entity/ies in a third country receiving the personal data from the data exporter, directly or indirectly via another entity also Party to these Clauses, as listed in Annex I.A. (hereinafter each “data importer”)</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have agreed to these standard contractual clauses (hereinafter: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These Clauses apply with respect to the transfer of personal data as specified in Annex I.B.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Appendix to these Clauses containing the Annexes referred to therein forms an integral part of these Clauses.</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2</w:t>
      </w:r>
    </w:p>
    <w:p>
      <w:pPr>
        <w:pStyle w:val="Normal"/>
        <w:keepNext w:val="true"/>
        <w:spacing w:lineRule="auto" w:line="240" w:before="120" w:after="12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Effect and invariability of the Clauses</w:t>
      </w:r>
    </w:p>
    <w:p>
      <w:pPr>
        <w:pStyle w:val="Normal"/>
        <w:numPr>
          <w:ilvl w:val="5"/>
          <w:numId w:val="10"/>
        </w:numPr>
        <w:tabs>
          <w:tab w:val="clear" w:pos="720"/>
          <w:tab w:val="left" w:pos="851" w:leader="none"/>
        </w:tabs>
        <w:spacing w:lineRule="auto" w:line="240" w:before="120" w:after="120"/>
        <w:ind w:hanging="851" w:start="851"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These Clauses set out appropriate safeguards, including enforceable data subject rights and effective legal remedies, pursuant to Article 46(1) and Article 46 (2)(c)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w:t>
      </w:r>
      <w:r>
        <w:rPr>
          <w:rFonts w:cs="Times New Roman" w:ascii="Times New Roman" w:hAnsi="Times New Roman"/>
          <w:sz w:val="24"/>
          <w:szCs w:val="24"/>
          <w:lang w:val="en-US" w:eastAsia="en-US"/>
        </w:rPr>
        <w:t>including the standard contractual clauses laid down in these Clauses in a wider contract and/or to add other clauses or additional safeguards, provided that they do not contradict, directly or indirectly, these Clauses or prejudice the fundamental rights or freedoms of data subjects</w:t>
      </w:r>
      <w:r>
        <w:rPr>
          <w:rFonts w:cs="Times New Roman" w:ascii="Times New Roman" w:hAnsi="Times New Roman"/>
          <w:sz w:val="24"/>
          <w:lang w:val="en-US" w:eastAsia="en-US"/>
        </w:rPr>
        <w:t xml:space="preserve">. </w:t>
      </w:r>
    </w:p>
    <w:p>
      <w:pPr>
        <w:pStyle w:val="Normal"/>
        <w:numPr>
          <w:ilvl w:val="5"/>
          <w:numId w:val="10"/>
        </w:numPr>
        <w:tabs>
          <w:tab w:val="clear" w:pos="720"/>
          <w:tab w:val="left" w:pos="851" w:leader="none"/>
        </w:tabs>
        <w:spacing w:lineRule="auto" w:line="240" w:before="120" w:after="120"/>
        <w:ind w:hanging="851" w:start="851" w:end="0"/>
        <w:jc w:val="both"/>
        <w:rPr>
          <w:rFonts w:ascii="Times New Roman" w:hAnsi="Times New Roman" w:cs="Times New Roman"/>
          <w:sz w:val="24"/>
          <w:lang w:val="en-US" w:eastAsia="en-US"/>
        </w:rPr>
      </w:pPr>
      <w:r>
        <w:rPr>
          <w:rFonts w:cs="Times New Roman" w:ascii="Times New Roman" w:hAnsi="Times New Roman"/>
          <w:sz w:val="24"/>
          <w:lang w:val="en-US" w:eastAsia="en-US"/>
        </w:rPr>
        <w:t>These Clauses are without prejudice to obligations to which the data exporter is subject by virtue of Regulation (EU) 2016/679.</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3</w:t>
      </w:r>
    </w:p>
    <w:p>
      <w:pPr>
        <w:pStyle w:val="Normal"/>
        <w:keepNext w:val="true"/>
        <w:spacing w:lineRule="auto" w:line="240" w:before="120" w:after="12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Third-party beneficiaries</w:t>
      </w:r>
    </w:p>
    <w:p>
      <w:pPr>
        <w:pStyle w:val="Normal"/>
        <w:numPr>
          <w:ilvl w:val="1"/>
          <w:numId w:val="24"/>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Data subjects may invoke and enforce these Clauses, as third-party beneficiaries, against the data exporter and/or data importer, with the following exceptions:</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1, Clause 2, Clause 3, Clause 6, Clause 7;</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8 - Module One: Clause 8.5 (e) and Clause 8.9(b); Module Two: Clause 8.1(b), 8.9(a), (c), (d) and (e); Module Three: Clause 8.1(a), (c) and (d) and Clause 8.9(a), (c), (d), (e), (f) and (g); Module Four: Clause 8.1 (b) and Clause 8.3(b);</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9 - Module Two: Clause 9(a), (c), (d) and (e); Module Three: Clause 9(a), (c), (d) and (e);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12 - Module One: Clause 12(a) and (d); Modules Two and Three: Clause 12(a), (d) and (f);</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13;</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15.1(c), (d) and (e);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16(e);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Clause 18 - Modules One, Two and Three: Clause 18(a) and (b); Module Four: Clause 18.</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Paragraph (a) is without prejudice to rights of data subjects under Regulation (EU) 2016/679.</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4</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Interpretation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these Clauses use terms that are defined in Regulation (EU) 2016/679, those terms shall have the same meaning as in that Regulation.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These Clauses shall be read and interpreted in the light of the provisions of Regulation (EU) 2016/679.</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These Clauses shall not be interpreted in a way that conflicts with rights and obligations provided for in Regulation (EU) 2016/679. </w:t>
      </w:r>
      <w:r>
        <w:br w:type="page"/>
      </w:r>
    </w:p>
    <w:p>
      <w:pPr>
        <w:pStyle w:val="Normal"/>
        <w:rPr>
          <w:rFonts w:ascii="Times New Roman" w:hAnsi="Times New Roman" w:cs="Times New Roman"/>
          <w:i/>
          <w:i/>
          <w:sz w:val="24"/>
          <w:lang w:val="en-US" w:eastAsia="en-US"/>
        </w:rPr>
      </w:pPr>
      <w:r>
        <w:rPr>
          <w:rFonts w:cs="Times New Roman" w:ascii="Times New Roman" w:hAnsi="Times New Roman"/>
          <w:i/>
          <w:sz w:val="24"/>
          <w:lang w:val="en-US" w:eastAsia="en-US"/>
        </w:rPr>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5</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Hierarchy</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the event of a contradiction between these Clauses and the provisions of related agreements between the Parties, existing at the time these Clauses are agreed or entered into thereafter, these Clauses shall prevail.</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6</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Description of the transfer(s)</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details of the transfer(s), and in particular the categories of personal data that are transferred and the purpose(s) for which they are transferred, are specified in Annex I.B.</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7 - Optional</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Docking clause</w:t>
      </w:r>
    </w:p>
    <w:p>
      <w:pPr>
        <w:pStyle w:val="Normal"/>
        <w:numPr>
          <w:ilvl w:val="1"/>
          <w:numId w:val="25"/>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An entity that is not a Party to these Clauses may, with the agreement of the Parties, accede to these Clauses at any time, either as a data exporter or as a data importer, by completing the Appendix and signing Annex I.A.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Once it has completed the Appendix and signed Annex I.A, the acceding entity shall become a Party to these Clauses and have the rights and obligations of a data exporter or data importer in accordance with its designation in Annex I.A.</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acceding entity shall have no rights or obligations arising under these Clauses from the period prior to becoming a Party.</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SECTION II – OBLIGATIONS OF THE PARTIES</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8</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Data protection safeguards</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exporter warrants that it has used reasonable efforts to determine that the data importer is able, through the implementation of appropriate technical and organisational measures, to satisfy its obligations under these Clauses. </w:t>
      </w:r>
    </w:p>
    <w:p>
      <w:pPr>
        <w:pStyle w:val="Normal"/>
        <w:spacing w:lineRule="auto" w:line="240" w:before="120" w:after="120"/>
        <w:jc w:val="both"/>
        <w:rPr>
          <w:rFonts w:ascii="Times New Roman" w:hAnsi="Times New Roman" w:cs="Times New Roman"/>
          <w:b/>
          <w:sz w:val="24"/>
          <w:highlight w:val="magenta"/>
          <w:lang w:val="en-US" w:eastAsia="en-US"/>
        </w:rPr>
      </w:pPr>
      <w:r>
        <w:rPr>
          <w:rFonts w:cs="Times New Roman" w:ascii="Times New Roman" w:hAnsi="Times New Roman"/>
          <w:b/>
          <w:sz w:val="24"/>
          <w:highlight w:val="magenta"/>
          <w:lang w:val="en-US" w:eastAsia="en-US"/>
        </w:rPr>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Purpose limitation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process the personal data only for the specific purpose(s) of the transfer, as set out in Annex I.B. It may only process the personal data for another purpose: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it has obtained the data subject’s prior consent;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necessary for the establishment, exercise or defence of legal claims in the context of specific administrative, regulatory or judicial proceedings; or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necessary in order to protect the vital interests of the data subject or of another natural person.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 xml:space="preserve">Transparency </w:t>
      </w:r>
    </w:p>
    <w:p>
      <w:pPr>
        <w:pStyle w:val="Normal"/>
        <w:numPr>
          <w:ilvl w:val="1"/>
          <w:numId w:val="26"/>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order to enable data subjects to effectively exercise their rights pursuant to Clause 10, the data importer shall inform them, either directly or through the data exporter: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of its identity and contact details;</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of the categories of personal data processed;</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of the right to obtain a copy of these Clauses;</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it intends to onward transfer the personal data to any third party/ies, of the recipient or categories of recipients (as appropriate with a view to providing meaningful information), the purpose of such onward transfer and the ground therefore pursuant to Clause 8.7.</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Paragraph (a) shall not apply where the data subject already has the information, including when such information has already been provided by the data exporter, or providing the information proves impossible or would involve a disproportionate effort for the data importer. In the latter case, the data importer shall, to the extent possible, make the information publicly available.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On request, the Parties shall make a copy of these Clauses, including the Appendix as completed by them, available to the data subject free of charge. To the extent necessary to protect business secrets or other confidential information, including personal data, the Parties may redact part of the text of the Appendix prior to sharing a copy, but shall provide a meaningful summary where the data subject would otherwise not be able to understand its content or exercise his/her rights. On request, the Parties shall provide the data subject with the reasons for the redactions, to the extent possible without revealing the redacted information.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Paragraphs (a) to (c) are without prejudice to the obligations of the data exporter under Articles 13 and 14 of Regulation (EU) 2016/679.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Accuracy and data minimisation</w:t>
      </w:r>
    </w:p>
    <w:p>
      <w:pPr>
        <w:pStyle w:val="Normal"/>
        <w:numPr>
          <w:ilvl w:val="1"/>
          <w:numId w:val="27"/>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Each Party shall ensure that the personal data is accurate and, where necessary, kept up to date. The data importer shall take every reasonable step to ensure that personal data that is inaccurate, having regard to the purpose(s) of processing, is erased or rectified without delay.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If one of the Parties becomes aware that the personal data it has transferred or received is inaccurate, or has become outdated, it shall inform the other Party without undue delay.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w:t>
      </w:r>
      <w:r>
        <w:rPr>
          <w:rFonts w:cs="Calibri" w:ascii="Times New Roman" w:hAnsi="Times New Roman"/>
          <w:sz w:val="24"/>
          <w:lang w:val="en-US" w:eastAsia="en-US"/>
        </w:rPr>
        <w:t>shall ensure</w:t>
      </w:r>
      <w:r>
        <w:rPr>
          <w:rFonts w:cs="Times New Roman" w:ascii="Times New Roman" w:hAnsi="Times New Roman"/>
          <w:sz w:val="24"/>
          <w:lang w:val="en-US" w:eastAsia="en-US"/>
        </w:rPr>
        <w:t xml:space="preserve"> that the personal data is adequate, relevant and limited to what is necessary in relation to the purpose(s) of processing.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8.4</w:t>
        <w:tab/>
        <w:t>Storage limitation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retain the personal data for no longer than necessary for the purpose(s) for which it is processed. It shall put in place appropriate technical or organisational measures to ensure compliance with this obligation, including erasure or anonymisation</w:t>
      </w:r>
      <w:r>
        <w:rPr>
          <w:rStyle w:val="FootnoteReference"/>
          <w:rFonts w:cs="Times New Roman" w:ascii="Times New Roman" w:hAnsi="Times New Roman"/>
          <w:sz w:val="24"/>
          <w:vertAlign w:val="superscript"/>
          <w:lang w:val="en-US" w:eastAsia="en-US"/>
        </w:rPr>
        <w:footnoteReference w:id="3"/>
      </w:r>
      <w:r>
        <w:rPr>
          <w:rFonts w:cs="Times New Roman" w:ascii="Times New Roman" w:hAnsi="Times New Roman"/>
          <w:sz w:val="24"/>
          <w:lang w:val="en-US" w:eastAsia="en-US"/>
        </w:rPr>
        <w:t xml:space="preserve"> of the data and all back-ups at the end of the retention period.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8.5</w:t>
        <w:tab/>
        <w:t>Security of processing</w:t>
      </w:r>
    </w:p>
    <w:p>
      <w:pPr>
        <w:pStyle w:val="Normal"/>
        <w:numPr>
          <w:ilvl w:val="1"/>
          <w:numId w:val="28"/>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and, during transmission, also the data exporter shall implement appropriate technical and organisational measures to ensure the security of the personal data, including  protection against a breach of security leading to accidental or unlawful destruction, loss, alteration, unauthorised disclosure or access (hereinafter “personal data breach”). In assessing the appropriate level of security, they shall take due account of the state of the art, the costs of implementation, the nature, scope, context and purpose(s) of processing and the risks involved in the processing for the data subject. The Parties shall in particular consider having recourse to encryption or pseudonymisation, including during transmission, where the purpose of processing can be fulfilled in that manner.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have agreed on the technical and organisational measures set out in Annex II. The data importer shall carry out regular checks to ensure that these measures continue to provide an appropriate level of security.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ensure that persons authorised to process the personal data have committed themselves to confidentiality or are under an appropriate statutory obligation of confidentiality.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the event of a personal data breach concerning personal data processed by the data importer under these Clauses, the data importer shall take appropriate measures to address the personal data breach, including measures to mitigate its possible adverse effects.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case of a personal data breach that is likely to result in a risk to the rights and freedoms of natural persons, the data importer shall without undue delay notify both the data exporter and the competent supervisory authority pursuant to Clause 13. Such notification shall contain i) a description of the nature of the breach (including, where possible, categories and approximate number of data subjects and personal data records concerned), ii) its likely consequences, iii) the measures taken or proposed to address the breach, and iv) the details of a contact point from whom more information can be obtained. To the extent it is not possible for the data importer to provide all the information at the same time, it may do so in phases without undue further delay.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case of a personal data breach that is likely to result in a high risk to the rights and freedoms of natural persons, the data importer shall also notify without undue delay the data subjects concerned of the personal data breach and its nature, if necessary in cooperation with the data exporter, together with the information referred to in paragraph (e), points ii) to iv), unless the data importer has implemented measures to significantly reduce the risk to the rights or freedoms of natural persons, or notification would involve disproportionate efforts. In the latter case, the data importer shall instead issue a public communication or take a similar measure to inform the public of the personal data breach.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document all relevant facts relating to the personal data breach, including its effects and any remedial action taken, and keep a record thereof.</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8.6</w:t>
        <w:tab/>
        <w:t>Sensitive data</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or offences (hereinafter “sensitive data”), the data importer shall apply specific restrictions and/or additional safeguards adapted to the specific nature of the data and the risks involved. This may include restricting the personnel permitted to access the personal data, additional security measures (such as pseudonymisation) and/or additional restrictions with respect to further disclosure.</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8.7</w:t>
        <w:tab/>
        <w:t>Onward transfers</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not disclose the personal data to a third party located outside the European Union</w:t>
      </w:r>
      <w:r>
        <w:rPr>
          <w:rStyle w:val="FootnoteReference"/>
          <w:rFonts w:cs="Times New Roman" w:ascii="Times New Roman" w:hAnsi="Times New Roman"/>
          <w:sz w:val="24"/>
          <w:vertAlign w:val="superscript"/>
          <w:lang w:val="en-US" w:eastAsia="en-US"/>
        </w:rPr>
        <w:footnoteReference w:id="4"/>
      </w:r>
      <w:r>
        <w:rPr>
          <w:rFonts w:cs="Times New Roman" w:ascii="Times New Roman" w:hAnsi="Times New Roman"/>
          <w:sz w:val="24"/>
          <w:lang w:val="en-US" w:eastAsia="en-US"/>
        </w:rPr>
        <w:t xml:space="preserve"> (in the same country as the data importer or in another third country, hereinafter “onward transfer”) unless the third party is or agrees to be bound by these Clauses, under the appropriate Module. Otherwise, an onward transfer by the data importer may only take place if: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it is to a country benefitting from an adequacy decision pursuant to Article 45 of Regulation (EU) 2016/679 that covers the onward transfer;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third party otherwise ensures appropriate safeguards pursuant to Articles 46 or 47 of Regulation (EU) 2016/679 with respect to the processing in question;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third party enters into a binding instrument with the data importer ensuring the same level of data protection as under these Clauses, and the data importer provides a copy of these safeguards to the data exporter;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it is necessary for the establishment, exercise or defence of legal claims in the context of specific administrative, regulatory or judicial proceedings;</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it is necessary in order to protect the vital interests of the data subject or of another natural person; or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none of the other conditions apply, the data importer has obtained the explicit consent of the data subject for an onward transfer in a specific situation, after having informed him/her of its purpose(s), the identity of the recipient and the possible risks of such transfer to him/her due to the lack of appropriate data protection safeguards. In this case, the data importer shall inform the data exporter and, at the request of the latter, shall transmit to it a copy of the information provided to the data subject.</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Any onward transfer is subject to compliance by the data importer with all the other safeguards under these Clauses, in particular purpose limitation.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8.8</w:t>
        <w:tab/>
        <w:t>Processing under the authority of the data importer</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ensure that any person acting under its authority, including a processor, processes the data only on its instructions.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8.9</w:t>
        <w:tab/>
        <w:t>Documentation and compliance</w:t>
      </w:r>
    </w:p>
    <w:p>
      <w:pPr>
        <w:pStyle w:val="Normal"/>
        <w:numPr>
          <w:ilvl w:val="1"/>
          <w:numId w:val="29"/>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Each Party shall be able to demonstrate compliance with its obligations under these Clauses. In particular, the data importer shall keep appropriate documentation of the processing activities carried out under its responsibility.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make such documentation available to the competent supervisory authority on request.</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Instructions</w:t>
      </w:r>
    </w:p>
    <w:p>
      <w:pPr>
        <w:pStyle w:val="Normal"/>
        <w:numPr>
          <w:ilvl w:val="1"/>
          <w:numId w:val="3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process the personal data only on documented instructions from the data exporter. The data exporter may give such instructions throughout the duration of the contract.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immediately inform the data exporter if it is unable to follow those instructions.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Purpose limitation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process the personal data only for the specific purpose(s) of the transfer, as set out in Annex I.B, unless on further instructions from the data exporter.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 xml:space="preserve">Transparency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the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8.4</w:t>
        <w:tab/>
        <w:t>Accuracy</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8.5</w:t>
        <w:tab/>
        <w:t>Duration of processing and erasure or return of data</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8.6</w:t>
        <w:tab/>
        <w:t>Security of processing</w:t>
      </w:r>
    </w:p>
    <w:p>
      <w:pPr>
        <w:pStyle w:val="Normal"/>
        <w:numPr>
          <w:ilvl w:val="1"/>
          <w:numId w:val="31"/>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in particular consider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exclusive control of the data exporter.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grant access to the personal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8.7</w:t>
        <w:tab/>
        <w:t>Sensitive data</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8.8</w:t>
        <w:tab/>
        <w:t>Onward transfers</w:t>
      </w:r>
    </w:p>
    <w:p>
      <w:pPr>
        <w:pStyle w:val="Normal"/>
        <w:spacing w:lineRule="auto" w:line="256" w:before="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only disclose the personal data to a third party on documented instructions from the data exporter. In addition, the data may only be disclosed to a third party located outside the European Union</w:t>
      </w:r>
      <w:r>
        <w:rPr>
          <w:rStyle w:val="FootnoteReference"/>
          <w:rFonts w:cs="Times New Roman" w:ascii="Times New Roman" w:hAnsi="Times New Roman"/>
          <w:sz w:val="24"/>
          <w:vertAlign w:val="superscript"/>
          <w:lang w:val="en-US" w:eastAsia="en-US"/>
        </w:rPr>
        <w:footnoteReference w:id="5"/>
      </w:r>
      <w:r>
        <w:rPr>
          <w:rFonts w:cs="Times New Roman" w:ascii="Times New Roman" w:hAnsi="Times New Roman"/>
          <w:sz w:val="24"/>
          <w:lang w:val="en-US" w:eastAsia="en-US"/>
        </w:rPr>
        <w:t xml:space="preserve"> (in the same country as the data importer or in another third country, hereinafter “onward transfer”) if the third party is or agrees to be bound by these Clauses, under the appropriate Module, or if: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onward transfer is to a country benefitting from an adequacy decision pursuant to Article 45 of Regulation (EU) 2016/679 that covers the onward transfer;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third party otherwise ensures appropriate safeguards pursuant to Articles 46 or 47 Regulation of (EU) 2016/679 with respect to the processing in question;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onward transfer is necessary for the establishment, exercise or defence of legal claims in the context of specific administrative, regulatory or judicial proceedings; or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onward transfer is necessary in order to protect the vital interests of the data subject or of another natural person.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Any onward transfer is subject to compliance by the data importer with all the other safeguards under these Clauses, in particular purpose limitation.</w:t>
      </w:r>
      <w:r>
        <w:br w:type="page"/>
      </w:r>
    </w:p>
    <w:p>
      <w:pPr>
        <w:pStyle w:val="Normal"/>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8.9</w:t>
        <w:tab/>
        <w:t>Documentation and compliance</w:t>
      </w:r>
    </w:p>
    <w:p>
      <w:pPr>
        <w:pStyle w:val="Normal"/>
        <w:numPr>
          <w:ilvl w:val="1"/>
          <w:numId w:val="32"/>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promptly and adequately deal with enquiries from the data exporter that relate to the processing under these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shall be able to demonstrate compliance with these Clauses. In particular, the data importer shall keep appropriate documentation on the processing activities carried out on behalf of the data exporter.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take into account relevant certifications held by the data importer.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exporter may choose to conduct the audit by itself or mandate an independent auditor. Audits may include inspections at the premises or physical facilities of the data importer and shall, where appropriate, be carried out with reasonable notice.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shall make the information referred to in paragraphs (b) and (c), including the results of any audits, available to the competent supervisory authority on request.</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Instructions</w:t>
      </w:r>
    </w:p>
    <w:p>
      <w:pPr>
        <w:pStyle w:val="Normal"/>
        <w:numPr>
          <w:ilvl w:val="1"/>
          <w:numId w:val="33"/>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exporter has informed the data importer that it acts as processor under the instructions of its controller(s), which the data exporter shall make available to the data importer prior to processing.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process the personal data only on documented instructions from the controller, as communicated to the data importer by the data exporter, and any additional documented instructions from the data exporter. Such additional instructions shall not conflict with the instructions from the controller. The controller or data exporter may give further documented instructions regarding the data processing throughout the duration of the contract.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immediately inform the data exporter if it is unable to follow those instructions. Where the data importer is unable to follow the instructions from the controller, the data exporter shall immediately notify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exporter warrants that it has imposed the same data protection obligations on the data importer as set out in the contract or other legal act under Union or Member State law between the controller and the data exporter</w:t>
      </w:r>
      <w:r>
        <w:rPr>
          <w:rStyle w:val="FootnoteReference"/>
          <w:rFonts w:cs="Times New Roman" w:ascii="Times New Roman" w:hAnsi="Times New Roman"/>
          <w:sz w:val="24"/>
          <w:vertAlign w:val="superscript"/>
          <w:lang w:val="en-US" w:eastAsia="en-US"/>
        </w:rPr>
        <w:footnoteReference w:id="6"/>
      </w:r>
      <w:r>
        <w:rPr>
          <w:rFonts w:cs="Times New Roman" w:ascii="Times New Roman" w:hAnsi="Times New Roman"/>
          <w:sz w:val="24"/>
          <w:lang w:val="en-US" w:eastAsia="en-US"/>
        </w:rPr>
        <w:t>.</w:t>
      </w:r>
      <w:r>
        <w:br w:type="page"/>
      </w:r>
    </w:p>
    <w:p>
      <w:pPr>
        <w:pStyle w:val="Normal"/>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Purpose limitation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process the personal data only for the specific purpose(s) of the transfer, as set out in Annex I.B., unless on further instructions from the controller, as communicated to the data importer by the data exporter, or from the data exporter.</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 xml:space="preserve">Transparency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On request, the data exporter shall make a copy of these Clauses, including the Appendix as completed by the Parties, available to the data subject free of charge. To the extent necessary to protect business secrets or other confidential information, including personal data, the data exporter may redact part of the text of the Appendix prior to sharing a copy, but shall provide a meaningful summary where the data subject would otherwise not be able to understand its content or exercise his/her rights. On request, the Parties shall provide the data subject with the reasons for the redactions, to the extent possible without revealing the redacted information.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8.4</w:t>
        <w:tab/>
        <w:t>Accuracy</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If the data importer becomes aware that the personal data it has received is inaccurate, or has become outdated, it shall inform the data exporter without undue delay. In this case, the data importer shall cooperate with the data exporter to rectify or erase the data.</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8.5</w:t>
        <w:tab/>
        <w:t>Duration of processing and erasure or return of data</w:t>
      </w:r>
    </w:p>
    <w:p>
      <w:pPr>
        <w:pStyle w:val="CommentText"/>
        <w:rPr>
          <w:lang w:val="en-US" w:eastAsia="en-US"/>
        </w:rPr>
      </w:pPr>
      <w:r>
        <w:rPr>
          <w:sz w:val="24"/>
          <w:lang w:val="en-US" w:eastAsia="en-US"/>
        </w:rPr>
        <w:t xml:space="preserve">Processing by the data importer shall only take place for the duration specified in Annex I.B. After the end of the provision of the processing services, the data importer shall, at the choice of the data exporter, delete all personal data processed on behalf of the controller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8.6</w:t>
        <w:tab/>
        <w:t>Security of processing</w:t>
      </w:r>
    </w:p>
    <w:p>
      <w:pPr>
        <w:pStyle w:val="Normal"/>
        <w:numPr>
          <w:ilvl w:val="1"/>
          <w:numId w:val="34"/>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they shall take due account of the state of the art, the costs of implementation, the nature, scope, context and purpose(s) of processing and the risks involved in the processing for the data subject. The Parties shall in particular consider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exclusive control of the data exporter or the controller.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grant access to the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the event of a personal data breach concerning personal data processed by the data importer under these Clauses, the data importer shall take appropriate measures to address the breach, including measures to mitigate its adverse effects. The data importer shall also notify, without undue delay, the data exporter and, where appropriate and feasible, the controller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data breach, including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cooperate with and assist the data exporter to enable the data exporter to comply with its obligations under Regulation (EU) 2016/679, in particular to notify its controller so that the latter may in turn notify the competent supervisory authority and the affected data subjects, taking into account the nature of processing and the information available to the data importer.</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8.7</w:t>
        <w:tab/>
        <w:t>Sensitive data</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set out in Annex I.B.</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8.8</w:t>
        <w:tab/>
        <w:t>Onward transfers</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only disclose the personal data to a third party on documented instructions from the controller, as communicated to the data importer by the data exporter. In addition, the data may only be disclosed to a third party located outside the European Union</w:t>
      </w:r>
      <w:r>
        <w:rPr>
          <w:rStyle w:val="FootnoteReference"/>
          <w:rFonts w:cs="Times New Roman" w:ascii="Times New Roman" w:hAnsi="Times New Roman"/>
          <w:sz w:val="24"/>
          <w:vertAlign w:val="superscript"/>
          <w:lang w:val="en-US" w:eastAsia="en-US"/>
        </w:rPr>
        <w:footnoteReference w:id="7"/>
      </w:r>
      <w:r>
        <w:rPr>
          <w:rFonts w:cs="Times New Roman" w:ascii="Times New Roman" w:hAnsi="Times New Roman"/>
          <w:sz w:val="24"/>
          <w:lang w:val="en-US" w:eastAsia="en-US"/>
        </w:rPr>
        <w:t xml:space="preserve"> (in the same country as the data importer or in another third country, hereinafter “onward transfer”) if the third party is or agrees to be bound by</w:t>
      </w:r>
      <w:r>
        <w:rPr>
          <w:rFonts w:cs="Calibri" w:ascii="Times New Roman" w:hAnsi="Times New Roman"/>
          <w:sz w:val="24"/>
          <w:lang w:val="en-US" w:eastAsia="en-US"/>
        </w:rPr>
        <w:t xml:space="preserve"> </w:t>
      </w:r>
      <w:r>
        <w:rPr>
          <w:rFonts w:cs="Times New Roman" w:ascii="Times New Roman" w:hAnsi="Times New Roman"/>
          <w:sz w:val="24"/>
          <w:lang w:val="en-US" w:eastAsia="en-US"/>
        </w:rPr>
        <w:t xml:space="preserve">these Clauses, under the appropriate Module, or if: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onward transfer is to a country benefitting from an adequacy decision pursuant to Article 45 of Regulation (EU) 2016/679 that covers the onward transfer;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third party otherwise ensures appropriate safeguards pursuant to Articles 46 or 47 of Regulation (EU) 2016/679;</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onward transfer is necessary for the establishment, exercise or defence of legal claims in the context of specific administrative, regulatory or judicial proceedings; or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onward transfer is necessary in order to protect the vital interests of the data subject or of another natural person.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Any onward transfer is subject to compliance by the data importer with all the other safeguards under these Clauses, in particular purpose limitation.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8.9</w:t>
        <w:tab/>
        <w:t>Documentation and compliance</w:t>
      </w:r>
    </w:p>
    <w:p>
      <w:pPr>
        <w:pStyle w:val="Normal"/>
        <w:numPr>
          <w:ilvl w:val="1"/>
          <w:numId w:val="35"/>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promptly and adequately deal with enquiries from the data exporter or the controller that relate to the processing under these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shall be able to demonstrate compliance with these Clauses. In particular, the data importer shall keep appropriate documentation on the processing activities carried out on behalf of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make all information necessary to demonstrate compliance with the obligations set out in these Clauses available to the data exporter, which shall provide it to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allow for and contribute to audits by the data exporter of the processing activities covered by these Clauses, at reasonable intervals or if there are indications of non-compliance. The same shall apply where the data exporter requests an audit on instructions of the controller. In deciding on an audit, the data exporter may take into account relevant certifications held by the data importer.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the audit is carried out on the instructions of the controller, the data exporter shall make the results available to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exporter may choose to conduct the audit by itself or mandate an independent auditor. Audits may include inspections at the premises or physical facilities of the data importer and shall, where appropriate, be carried out with reasonable notice.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shall make the information referred to in paragraphs (b) and (c), including the results of any audits, available to the competent supervisory authority on request.</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MODULE FOUR: Transfer processor to controller</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Instructions</w:t>
      </w:r>
    </w:p>
    <w:p>
      <w:pPr>
        <w:pStyle w:val="Normal"/>
        <w:numPr>
          <w:ilvl w:val="1"/>
          <w:numId w:val="36"/>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exporter shall process the personal data only on documented instructions from the data importer acting as its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exporter shall immediately inform the data importer if it is unable to follow those instructions, including if such instructions infringe Regulation (EU) 2016/679 or other Union or Member State data protection law.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refrain from any action that would prevent the data exporter from fulfilling its obligations under Regulation (EU) 2016/679, including in the context of sub-processing or as regards cooperation with competent supervisory authorities.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After the end of the provision of the processing services, the data exporter shall, at the choice of the data importer, delete all personal data processed on behalf of the data importer and certify to the data importer that it has done so, or return to the data importer all personal data processed on its behalf and delete existing copies.</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Security of processing</w:t>
      </w:r>
    </w:p>
    <w:p>
      <w:pPr>
        <w:pStyle w:val="Normal"/>
        <w:numPr>
          <w:ilvl w:val="1"/>
          <w:numId w:val="37"/>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shall implement appropriate technical and organisational measures to ensure the security of the data, including during transmission, and protection against a breach of security leading to accidental or unlawful destruction, loss, alteration, unauthorised disclosure or access (hereinafter “personal data breach”). In assessing the appropriate level of security, they shall take due account of the state of the art, the costs of implementation, the nature of the personal data</w:t>
      </w:r>
      <w:r>
        <w:rPr>
          <w:rStyle w:val="FootnoteReference"/>
          <w:rFonts w:cs="Times New Roman" w:ascii="Times New Roman" w:hAnsi="Times New Roman"/>
          <w:sz w:val="24"/>
          <w:vertAlign w:val="superscript"/>
          <w:lang w:val="en-US" w:eastAsia="en-US"/>
        </w:rPr>
        <w:footnoteReference w:id="8"/>
      </w:r>
      <w:r>
        <w:rPr>
          <w:rFonts w:cs="Times New Roman" w:ascii="Times New Roman" w:hAnsi="Times New Roman"/>
          <w:sz w:val="24"/>
          <w:lang w:val="en-US" w:eastAsia="en-US"/>
        </w:rPr>
        <w:t xml:space="preserve">, the nature, scope, context and purpose(s) of processing and the risks involved in the processing for the data subjects, and in particular consider having recourse to encryption or pseudonymisation, including during transmission, where the purpose of processing can be fulfilled in that manner.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exporter shall assist the data importer in ensuring appropriate security of the data in accordance with paragraph (a). In case of a personal data breach concerning the personal data processed by the data exporter under these Clauses, the data exporter shall notify the data importer without undue delay after becoming aware of it and assist the data importer in addressing the breach.</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exporter shall ensure that persons authorised to process the personal data   have committed themselves to confidentiality or are under an appropriate statutory obligation of confidentiality.</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Documentation and compliance</w:t>
      </w:r>
    </w:p>
    <w:p>
      <w:pPr>
        <w:pStyle w:val="Normal"/>
        <w:numPr>
          <w:ilvl w:val="1"/>
          <w:numId w:val="38"/>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Parties shall be able to demonstrate compliance with these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exporter shall make available to the data importer all information necessary to demonstrate compliance with its obligations under these Clauses and allow for and contribute to audits.</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9</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Use of sub-processors</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numPr>
          <w:ilvl w:val="1"/>
          <w:numId w:val="39"/>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OPTION 1: SPECIFIC PRIOR AUTHORISATION The data importer shall not sub-contract any of its processing activities performed on behalf of the data exporter under these Clauses to a sub-processor without the data exporter’s prior specific written authorisation. The data importer shall submit the request for specific authorisation at least [</w:t>
      </w:r>
      <w:r>
        <w:rPr>
          <w:rFonts w:cs="Times New Roman" w:ascii="Times New Roman" w:hAnsi="Times New Roman"/>
          <w:i/>
          <w:sz w:val="24"/>
          <w:lang w:val="en-US" w:eastAsia="en-US"/>
        </w:rPr>
        <w:t>Specify time period</w:t>
      </w:r>
      <w:r>
        <w:rPr>
          <w:rFonts w:cs="Times New Roman" w:ascii="Times New Roman" w:hAnsi="Times New Roman"/>
          <w:sz w:val="24"/>
          <w:lang w:val="en-US" w:eastAsia="en-US"/>
        </w:rPr>
        <w:t>] prior to the engagement of the  sub-processor, together with the information necessary to enable the data exporter to decide on the authorisation. The list of sub-processors already authorised by the data exporter can be found in Annex III. The Parties shall keep Annex III up to date.</w:t>
      </w:r>
    </w:p>
    <w:p>
      <w:pPr>
        <w:pStyle w:val="Normal"/>
        <w:numPr>
          <w:ilvl w:val="0"/>
          <w:numId w:val="0"/>
        </w:numPr>
        <w:tabs>
          <w:tab w:val="left" w:pos="720" w:leader="none"/>
        </w:tabs>
        <w:spacing w:lineRule="auto" w:line="240" w:before="120" w:after="120"/>
        <w:ind w:hanging="0" w:start="850" w:end="0"/>
        <w:jc w:val="both"/>
        <w:rPr>
          <w:rFonts w:ascii="Times New Roman" w:hAnsi="Times New Roman" w:cs="Times New Roman"/>
          <w:sz w:val="24"/>
          <w:szCs w:val="24"/>
          <w:lang w:val="en-US" w:eastAsia="en-US"/>
        </w:rPr>
      </w:pPr>
      <w:r>
        <w:rPr>
          <w:rFonts w:cs="Times New Roman" w:ascii="Times New Roman" w:hAnsi="Times New Roman"/>
          <w:sz w:val="24"/>
          <w:lang w:val="en-US" w:eastAsia="en-US"/>
        </w:rPr>
        <w:t>OPTION 2: GENERAL WRITTEN AUTHORISATION The data importer has the data exporter’s general authorisation for the engagement of sub-processor(s) from an agreed list. The data importer shall specifically inform the data exporter in writing of any intended changes to that list through the addition or replacement of sub-processors at least [</w:t>
      </w:r>
      <w:r>
        <w:rPr>
          <w:rFonts w:cs="Times New Roman" w:ascii="Times New Roman" w:hAnsi="Times New Roman"/>
          <w:i/>
          <w:sz w:val="24"/>
          <w:lang w:val="en-US" w:eastAsia="en-US"/>
        </w:rPr>
        <w:t>Specify time period</w:t>
      </w:r>
      <w:r>
        <w:rPr>
          <w:rFonts w:cs="Times New Roman" w:ascii="Times New Roman" w:hAnsi="Times New Roman"/>
          <w:sz w:val="24"/>
          <w:lang w:val="en-US" w:eastAsia="en-US"/>
        </w:rPr>
        <w:t xml:space="preserve">] in advance, thereby giving the data exporter sufficient time to be able to object to such changes prior to the engagement of the sub-processor(s). </w:t>
      </w:r>
      <w:r>
        <w:rPr>
          <w:rFonts w:cs="Times New Roman" w:ascii="Times New Roman" w:hAnsi="Times New Roman"/>
          <w:sz w:val="24"/>
          <w:szCs w:val="24"/>
          <w:lang w:val="en-US" w:eastAsia="en-US"/>
        </w:rPr>
        <w:t xml:space="preserve">The data importer shall provide the data exporter with the information necessary to enable the data exporter to exercise its right to object.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w:t>
      </w:r>
      <w:r>
        <w:rPr>
          <w:rStyle w:val="FootnoteCharacters"/>
          <w:rStyle w:val="FootnoteReference"/>
          <w:rFonts w:cs="Times New Roman" w:ascii="Times New Roman" w:hAnsi="Times New Roman"/>
          <w:sz w:val="24"/>
          <w:lang w:val="en-US" w:eastAsia="en-US"/>
        </w:rPr>
        <w:footnoteReference w:id="9"/>
      </w:r>
      <w:r>
        <w:rPr>
          <w:rFonts w:cs="Times New Roman" w:ascii="Times New Roman" w:hAnsi="Times New Roman"/>
          <w:sz w:val="24"/>
          <w:lang w:val="en-US" w:eastAsia="en-US"/>
        </w:rPr>
        <w:t xml:space="preserve"> The Parties agree that, by complying with this Clause, the data importer fulfils its obligations under Clause 8.8. The data importer shall ensure that the sub-processor complies with the obligations to which the data importer is subject pursuant to these Clauses.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numPr>
          <w:ilvl w:val="1"/>
          <w:numId w:val="4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OPTION 1: SPECIFIC PRIOR AUTHORISATION The data importer shall not sub-contract any of its processing activities performed on behalf of the data exporter under these Clauses to a sub-processor without the prior specific written authorisation of the controller. The data importer shall submit the request for specific authorisation at least [</w:t>
      </w:r>
      <w:r>
        <w:rPr>
          <w:rFonts w:cs="Times New Roman" w:ascii="Times New Roman" w:hAnsi="Times New Roman"/>
          <w:i/>
          <w:sz w:val="24"/>
          <w:lang w:val="en-US" w:eastAsia="en-US"/>
        </w:rPr>
        <w:t>Specify time period</w:t>
      </w:r>
      <w:r>
        <w:rPr>
          <w:rFonts w:cs="Times New Roman" w:ascii="Times New Roman" w:hAnsi="Times New Roman"/>
          <w:sz w:val="24"/>
          <w:lang w:val="en-US" w:eastAsia="en-US"/>
        </w:rPr>
        <w:t>] prior to the engagement of the sub-processor, together with the information necessary to enable the controller to decide on the authorisation. It shall inform the data exporter of such engagement. The list of sub-processors already authorised by the controller can be found in Annex III. The Parties shall keep Annex III up to date.</w:t>
      </w:r>
    </w:p>
    <w:p>
      <w:pPr>
        <w:pStyle w:val="Normal"/>
        <w:numPr>
          <w:ilvl w:val="0"/>
          <w:numId w:val="0"/>
        </w:numPr>
        <w:tabs>
          <w:tab w:val="left" w:pos="720" w:leader="none"/>
        </w:tabs>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OPTION 2: GENERAL WRITTEN AUTHORISATION The data importer has the controller’s general authorisation for the engagement of sub-processor(s) from an agreed list. The data importer shall specifically inform the controller in writing of any intended changes to that list through the addition or replacement of sub-processors at least [</w:t>
      </w:r>
      <w:r>
        <w:rPr>
          <w:rFonts w:cs="Times New Roman" w:ascii="Times New Roman" w:hAnsi="Times New Roman"/>
          <w:i/>
          <w:sz w:val="24"/>
          <w:lang w:val="en-US" w:eastAsia="en-US"/>
        </w:rPr>
        <w:t>Specify time period</w:t>
      </w:r>
      <w:r>
        <w:rPr>
          <w:rFonts w:cs="Times New Roman" w:ascii="Times New Roman" w:hAnsi="Times New Roman"/>
          <w:sz w:val="24"/>
          <w:lang w:val="en-US" w:eastAsia="en-US"/>
        </w:rPr>
        <w:t xml:space="preserve">] in advance, thereby giving the controller sufficient time to be able to object to such changes prior to the engagement of the sub-processor(s). </w:t>
      </w:r>
      <w:r>
        <w:rPr>
          <w:rFonts w:cs="Times New Roman" w:ascii="Times New Roman" w:hAnsi="Times New Roman"/>
          <w:sz w:val="24"/>
          <w:szCs w:val="24"/>
          <w:lang w:val="en-US" w:eastAsia="en-US"/>
        </w:rPr>
        <w:t xml:space="preserve">The data importer shall provide the controller with the information necessary to enable the controller to exercise its right to object. </w:t>
      </w:r>
      <w:r>
        <w:rPr>
          <w:rFonts w:cs="Times New Roman" w:ascii="Times New Roman" w:hAnsi="Times New Roman"/>
          <w:sz w:val="24"/>
          <w:lang w:val="en-US" w:eastAsia="en-US"/>
        </w:rPr>
        <w:t xml:space="preserve">The data importer shall inform the data exporter of the engagement of the sub-processor(s).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the data importer engages a sub-processor to carry out specific processing activities (on behalf of the controller), it shall do so by way of a written contract that provides for, in substance, the same data protection obligations as those binding the data importer under these Clauses, including in terms of third-party beneficiary rights for data subjects.</w:t>
      </w:r>
      <w:r>
        <w:rPr>
          <w:rStyle w:val="FootnoteCharacters"/>
          <w:rStyle w:val="FootnoteReference"/>
          <w:rFonts w:cs="Times New Roman" w:ascii="Times New Roman" w:hAnsi="Times New Roman"/>
          <w:sz w:val="24"/>
          <w:lang w:val="en-US" w:eastAsia="en-US"/>
        </w:rPr>
        <w:footnoteReference w:id="10"/>
      </w:r>
      <w:r>
        <w:rPr>
          <w:rFonts w:cs="Times New Roman" w:ascii="Times New Roman" w:hAnsi="Times New Roman"/>
          <w:sz w:val="24"/>
          <w:lang w:val="en-US" w:eastAsia="en-US"/>
        </w:rPr>
        <w:t xml:space="preserve"> The Parties agree that, by complying with this Clause, the data importer fulfils its obligations under Clause 8.8. The data importer shall ensure that the sub-processor complies with the obligations to which the data importer is subject pursuant to these Clauses.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provide, at the data exporter’s or controller’s request, a copy of such a sub-processor agreement and any subsequent amendments. To the extent necessary to protect business secrets or other confidential information, including personal data, the data importer may redact the text of the agreement prior to sharing a copy.</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10</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Data subject rights</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numPr>
          <w:ilvl w:val="1"/>
          <w:numId w:val="41"/>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where relevant with the assistance of the data exporter, shall deal with any enquiries and requests it receives from a data subject relating to the processing of his/her personal data and the exercise of his/her rights under these Clauses without undue delay and at the latest within one month of the receipt of the enquiry or request.</w:t>
      </w:r>
      <w:r>
        <w:rPr>
          <w:rStyle w:val="FootnoteReference"/>
          <w:rFonts w:cs="Calibri" w:ascii="Times New Roman" w:hAnsi="Times New Roman"/>
          <w:sz w:val="24"/>
          <w:vertAlign w:val="superscript"/>
          <w:lang w:val="en-US" w:eastAsia="en-US"/>
        </w:rPr>
        <w:footnoteReference w:id="11"/>
      </w:r>
      <w:r>
        <w:rPr>
          <w:rFonts w:cs="Times New Roman" w:ascii="Times New Roman" w:hAnsi="Times New Roman"/>
          <w:sz w:val="24"/>
          <w:lang w:val="en-US" w:eastAsia="en-US"/>
        </w:rPr>
        <w:t xml:space="preserve"> The data importer shall take appropriate measures to facilitate such enquiries, requests and the exercise of data subject rights. Any information provided to the data subject shall be in an intelligible and easily accessible form, using clear and plain language.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particular, upon request by the data subject the data importer shall, free of charge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provide confirmation to the data subject as to whether personal data concerning him/her is being processed and, where this is the case, a copy of the data relating to him/her and the information in Annex I; if personal data has been or will be onward transferred, provide information on recipients or categories of recipients (as appropriate with a view to providing meaningful information) to which the personal data has been or will be onward transferred, the purpose of such onward transfers and their ground pursuant to Clause 8.7; and provide information on the right to lodge a complaint with a supervisory authority in accordance with Clause 12(c)(i);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rectify inaccurate or incomplete data concerning the data subject;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erase personal data concerning the data subject if such data is being or has been processed in violation of any of these Clauses ensuring third-party beneficiary rights, or if the data subject withdraws the consent on which the processing is based.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the data importer processes the personal data for direct marketing purposes, it shall cease processing for such purposes if the data subject objects to it.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not make a decision based solely on the automated processing of the personal data transferred (hereinafter “automated decision”), which would produce legal effects concerning the data subject or similarly significantly affect him / her, unless with the explicit consent of the data subject or if authorised to do so under the laws of the country of destination, provided that such laws lays down suitable measures to safeguard the data subject’s rights and legitimate interests. In this case, the data importer shall, where necessary in cooperation with the data exporter: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inform the data subject about the envisaged automated decision, the envisaged consequences and the logic involved; and</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implement suitable safeguards, at least by enabling the data subject to contest the decision, express his/her point of view and obtain review by a human being.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requests from a data subject are excessive, in particular because of their repetitive character, the data importer may either charge a reasonable fee taking into account the administrative costs of granting the request or refuse to act on the request.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may refuse a data subject’s request if such refusal is allowed under the laws of the country of destination and is necessary and proportionate in a democratic society to protect one of the objectives listed in Article 23(1) of Regulation (EU) 2016/679.</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If the data importer intends to refuse a data subject’s request, it shall inform the data subject of the reasons for the refusal and the possibility of lodging a complaint with the competent supervisory authority and/or seeking judicial redress.</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numPr>
          <w:ilvl w:val="1"/>
          <w:numId w:val="42"/>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promptly notify the data exporter of any request it has received from a data subject. It shall not respond to that request itself unless it has been authorised to do so by the data exporter.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assist the data exporter in fulfilling its obligations to respond to data subjects’ requests for the exercise of their rights under Regulation (EU) 2016/679. In this regard, the Parties shall set out in Annex II the appropriate technical and organisational measures, taking into account the nature of the processing, by which the assistance shall be provided, as well as the scope and the extent of the assistance required.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fulfilling its obligations under paragraphs (a) and (b), the data importer shall comply with the instructions from the data exporter.</w:t>
      </w:r>
    </w:p>
    <w:p>
      <w:pPr>
        <w:pStyle w:val="Normal"/>
        <w:numPr>
          <w:ilvl w:val="0"/>
          <w:numId w:val="0"/>
        </w:numPr>
        <w:spacing w:lineRule="auto" w:line="240" w:before="120" w:after="120"/>
        <w:ind w:hanging="0" w:start="0"/>
        <w:jc w:val="both"/>
        <w:rPr>
          <w:rFonts w:ascii="Times New Roman" w:hAnsi="Times New Roman" w:cs="Times New Roman"/>
          <w:sz w:val="24"/>
          <w:highlight w:val="lightGray"/>
          <w:lang w:val="en-US" w:eastAsia="en-US"/>
        </w:rPr>
      </w:pPr>
      <w:r>
        <w:rPr>
          <w:rFonts w:cs="Times New Roman" w:ascii="Times New Roman" w:hAnsi="Times New Roman"/>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numPr>
          <w:ilvl w:val="1"/>
          <w:numId w:val="43"/>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promptly notify the data exporter and, where appropriate, the controller of any request it has received from a data subject, without responding to that request unless it has been authorised to do so by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assist, where appropriate in cooperation with the data exporter, the controller in fulfilling its obligations to respond to data subjects’ requests for the exercise of their rights under Regulation (EU) 2016/679 or Regulation (EU) 2018/1725, as applicable. In this regard, the Parties shall set out in Annex II the appropriate technical and organisational measures, taking into account the nature of the processing, by which the assistance shall be provided, as well as the scope and the extent of the assistance required.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fulfilling its obligations under paragraphs (a) and (b), the data importer shall comply with the instructions from the controller, as communicated by the data exporter.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p>
    <w:p>
      <w:pPr>
        <w:pStyle w:val="Normal"/>
        <w:spacing w:lineRule="auto" w:line="240" w:before="240" w:after="120"/>
        <w:jc w:val="both"/>
        <w:rPr>
          <w:rFonts w:ascii="Times New Roman" w:hAnsi="Times New Roman" w:cs="Calibri"/>
          <w:sz w:val="24"/>
          <w:lang w:val="en-US" w:eastAsia="en-US"/>
        </w:rPr>
      </w:pPr>
      <w:r>
        <w:rPr>
          <w:rFonts w:cs="Calibri" w:ascii="Times New Roman" w:hAnsi="Times New Roman"/>
          <w:sz w:val="24"/>
          <w:lang w:val="en-US" w:eastAsia="en-US"/>
        </w:rPr>
        <w:t xml:space="preserve">The Parties shall assist each other in responding to enquiries and requests made by data subjects under the local law applicable to the data importer or, for data processing by the data exporter in the EU, under </w:t>
      </w:r>
      <w:r>
        <w:rPr>
          <w:rFonts w:cs="Times New Roman" w:ascii="Times New Roman" w:hAnsi="Times New Roman"/>
          <w:sz w:val="24"/>
          <w:lang w:val="en-US" w:eastAsia="en-US"/>
        </w:rPr>
        <w:t>Regulation (EU) 2016/679</w:t>
      </w:r>
      <w:r>
        <w:rPr>
          <w:rFonts w:cs="Calibri" w:ascii="Times New Roman" w:hAnsi="Times New Roman"/>
          <w:sz w:val="24"/>
          <w:lang w:val="en-US" w:eastAsia="en-US"/>
        </w:rPr>
        <w:t>.</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11</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Redress</w:t>
      </w:r>
    </w:p>
    <w:p>
      <w:pPr>
        <w:pStyle w:val="Normal"/>
        <w:numPr>
          <w:ilvl w:val="1"/>
          <w:numId w:val="44"/>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inform data subjects in a transparent and easily accessible format, through individual notice or on its website, of a contact point authorised to handle complaints. It shall deal promptly with any complaints it receives from a data subject. </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[OPTION: The data importer agrees that data subjects may also lodge a complaint with an independent dispute resolution body</w:t>
      </w:r>
      <w:r>
        <w:rPr>
          <w:rStyle w:val="FootnoteReference"/>
          <w:rFonts w:cs="Times New Roman" w:ascii="Times New Roman" w:hAnsi="Times New Roman"/>
          <w:sz w:val="24"/>
          <w:vertAlign w:val="superscript"/>
          <w:lang w:val="en-US" w:eastAsia="en-US"/>
        </w:rPr>
        <w:footnoteReference w:id="12"/>
      </w:r>
      <w:r>
        <w:rPr>
          <w:rFonts w:cs="Times New Roman" w:ascii="Times New Roman" w:hAnsi="Times New Roman"/>
          <w:sz w:val="24"/>
          <w:lang w:val="en-US" w:eastAsia="en-US"/>
        </w:rPr>
        <w:t xml:space="preserve"> at no cost to the data subject. It shall inform the data subjects, in the manner set out in paragraph (a), of such redress mechanism and that they are not required to use it, or follow a particular sequence in seeking redress.]</w:t>
      </w:r>
    </w:p>
    <w:p>
      <w:pPr>
        <w:pStyle w:val="Normal"/>
        <w:numPr>
          <w:ilvl w:val="0"/>
          <w:numId w:val="0"/>
        </w:numPr>
        <w:spacing w:lineRule="auto" w:line="240" w:before="120" w:after="120"/>
        <w:ind w:hanging="85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numPr>
          <w:ilvl w:val="1"/>
          <w:numId w:val="10"/>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the data subject invokes a third-party beneficiary right pursuant to Clause 3, the data importer shall accept the decision of the data subject to: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lodge a complaint with the supervisory authority in the Member State of his/her habitual residence or place of work, or the competent supervisory authority pursuant to Clause 13;</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refer the dispute to the competent courts within the meaning of Clause 18.</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Parties accept that the data subject may be represented by a not-for-profit body, organisation or association under the conditions set out in Article 80(1) of Regulation (EU) 2016/679.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shall abide by a decision that is binding under the applicable EU or Member State law.</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agrees that the choice made by the data subject will not prejudice his/her substantive and procedural rights to seek remedies in accordance with applicable laws.</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12</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Liability</w:t>
      </w:r>
    </w:p>
    <w:p>
      <w:pPr>
        <w:pStyle w:val="Normal"/>
        <w:spacing w:lineRule="auto" w:line="240" w:before="120" w:after="120"/>
        <w:ind w:hanging="850" w:start="850" w:end="0"/>
        <w:jc w:val="both"/>
        <w:rPr>
          <w:rFonts w:ascii="Times New Roman" w:hAnsi="Times New Roman" w:cs="Times New Roman"/>
          <w:b/>
          <w:i/>
          <w:i/>
          <w:sz w:val="24"/>
          <w:highlight w:val="lightGray"/>
          <w:lang w:val="en-US" w:eastAsia="en-US"/>
        </w:rPr>
      </w:pPr>
      <w:r>
        <w:rPr>
          <w:rFonts w:cs="Times New Roman" w:ascii="Times New Roman" w:hAnsi="Times New Roman"/>
          <w:b/>
          <w:i/>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ind w:hanging="850" w:start="850" w:end="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p>
    <w:p>
      <w:pPr>
        <w:pStyle w:val="Normal"/>
        <w:numPr>
          <w:ilvl w:val="1"/>
          <w:numId w:val="45"/>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Each Party shall be liable to the other Party/ies for any damages it causes the other Party/ies by any breach of these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Each Party shall be liable to the data subject, and the data subject shall be entitled to receive compensation, for any material or non-material damages that the Party causes the data subject by breaching the third-party beneficiary rights under these Clauses. This is without prejudice to the liability of the data exporter under Regulation (EU) 2016/679.</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agree that if one Party is held liable under paragraph (c), it shall be entitled to claim back from the other Party/ies that part of the compensation corresponding to its / their responsibility for the damage.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may not invoke the conduct of a processor or sub-processor to avoid its own liability.</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numPr>
          <w:ilvl w:val="1"/>
          <w:numId w:val="46"/>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Each Party shall be liable to the other Party/ies for any damages it causes the other Party/ies by any breach of these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more than one Party is responsible for any damage caused to the data subject as a result of a breach of these Clauses, all responsible Parties shall be jointly and severally liable and the data subject is entitled to bring an action in court against any of these Parties.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agree that if one Party is held liable under paragraph (e), it shall be entitled to claim back from the other Party/ies that part of the compensation corresponding to its / their responsibility for the damage.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may not invoke the conduct of a sub-processor to avoid its own liability.</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13</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Supervision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numPr>
          <w:ilvl w:val="1"/>
          <w:numId w:val="47"/>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the data exporter is established in an EU Member State:] The supervisory authority with responsibility for ensuring compliance by the data exporter with Regulation (EU) 2016/679 as regards the data transfer, as indicated in Annex I.C, shall act as competent supervisory authority.</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the data exporter is not established in an EU Member State, but falls within the territorial scope of application of Regulation (EU) 2016/679 in accordance with its Article 3(2) and has appointed a representative pursuant to Article 27(1) of Regulation (EU) 2016/679:] The supervisory authority of the Member State in which the representative within the meaning of Article 27(1) of Regulation (EU) 2016/679 is established, as indicated in Annex I.C, shall act as competent supervisory authority. </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the data exporter is not established in an EU Member State, but falls within the territorial scope of application of Regulation (EU) 2016/679 in accordance with its Article 3(2) without however having to appoint a representative pursuant to Article 27(2) of Regulation (EU) 2016/679:] The supervisory authority of one of the Member States in which the data subjects whose personal data is transferred under these Clauses in relation to the offering of goods or services to them, or whose behaviour is monitored, are located, as indicated in Annex I.C, shall act as competent supervisory authority.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SECTION III – LOCAL LAWS AND OBLIGATIONS IN CASE OF ACCESS BY PUBLIC AUTHORITIES</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14</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Local laws and practices affecting compliance with the Clauses</w:t>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r>
        <w:rPr>
          <w:rFonts w:cs="Times New Roman" w:ascii="Times New Roman" w:hAnsi="Times New Roman"/>
          <w:i/>
          <w:sz w:val="24"/>
          <w:lang w:val="en-US" w:eastAsia="en-US"/>
        </w:rPr>
        <w:t>(where the EU processor combines the personal data received from the third country-controller with personal data collected by the processor in the EU)</w:t>
      </w:r>
    </w:p>
    <w:p>
      <w:pPr>
        <w:pStyle w:val="Normal"/>
        <w:numPr>
          <w:ilvl w:val="1"/>
          <w:numId w:val="48"/>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warrant that they have no reason to believe that the laws and practices in the third country of destination applicable to the processing of the personal data by the data importer, including any requirements to disclose personal data or measures authorising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declare that in providing the warranty in paragraph (a), they have taken due account in particular of the following elements:</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laws and practices of the third country of destination– including those requiring the disclosure of data to public authorities or authorising access by such authorities – relevant in light of the specific circumstances of the transfer, and the applicable limitations and safeguards</w:t>
      </w:r>
      <w:r>
        <w:rPr>
          <w:rStyle w:val="FootnoteReference"/>
          <w:rFonts w:cs="Times New Roman" w:ascii="Times New Roman" w:hAnsi="Times New Roman"/>
          <w:sz w:val="24"/>
          <w:vertAlign w:val="superscript"/>
          <w:lang w:val="en-US" w:eastAsia="en-US"/>
        </w:rPr>
        <w:footnoteReference w:id="13"/>
      </w:r>
      <w:r>
        <w:rPr>
          <w:rFonts w:cs="Times New Roman" w:ascii="Times New Roman" w:hAnsi="Times New Roman"/>
          <w:sz w:val="24"/>
          <w:lang w:val="en-US" w:eastAsia="en-US"/>
        </w:rPr>
        <w:t xml:space="preserve">;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any relevant contractual, technical or organisational safeguards put in place to supplement the safeguards under these Clauses, including measures applied during transmission and to the processing of the personal data in the country of destination.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agree to document the assessment under paragraph (b) and make it available to the competent supervisory authority on request.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[For Module Three: The data exporter shall forward the notification to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Following a notification pursuant to paragraph (e), or if the data exporter otherwise has reason to believe that the data importer can no longer fulfil its obligations under these Clauses, the data exporter shall promptly identify appropriate measures (e.g. technical or organisational measures to ensure security and confidentiality) to be adopted by the data exporter and/or data importer to address the situation [for Module Three: , if appropriate in consultation with the controller]. The data exporter shall suspend the data transfer if it considers that no appropriate safeguards for such transfer can be ensured, or if instructed by [for Module Three: the controller or]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 </w:t>
      </w:r>
      <w:r>
        <w:rPr>
          <w:rFonts w:cs="Times New Roman" w:ascii="Times New Roman" w:hAnsi="Times New Roman"/>
          <w:color w:val="444444"/>
          <w:sz w:val="27"/>
          <w:szCs w:val="27"/>
          <w:shd w:fill="FFFFFF" w:val="clear"/>
          <w:lang w:val="en-US" w:eastAsia="en-US"/>
        </w:rPr>
        <w:t xml:space="preserve"> </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15</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Obligations of the data importer in case of access by public authorities</w:t>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r>
        <w:rPr>
          <w:rFonts w:cs="Times New Roman" w:ascii="Times New Roman" w:hAnsi="Times New Roman"/>
          <w:i/>
          <w:sz w:val="24"/>
          <w:lang w:val="en-US" w:eastAsia="en-US"/>
        </w:rPr>
        <w:t>(where the EU processor combines the personal data received from the third country-controller with personal data collected by the processor in the EU)</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15.1</w:t>
        <w:tab/>
        <w:t>Notification</w:t>
      </w:r>
    </w:p>
    <w:p>
      <w:pPr>
        <w:pStyle w:val="Normal"/>
        <w:numPr>
          <w:ilvl w:val="1"/>
          <w:numId w:val="49"/>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agrees to notify the data exporter and, where possible, the data subject promptly (if necessary with the help of the data exporter) if it: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becomes aware of any direct access by public authorities to personal data transferred pursuant to these Clauses in accordance with the laws of the country of destination; such notification shall include all information available to the importer.</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[For Module Three: The data exporter shall forward the notification to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If the data importer is prohibited from notifying the data exporter and/or the data subject under the laws of the country of destination, the data importer agrees to use its best efforts to obtain a waiver of the prohibition, with a view to communicating as much information as possible, as soon as possible. The data importer agrees to document its best efforts in order to be able to demonstrate them on request of the data exporter.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authority/ies, whether requests have been challenged and the outcome of such challenges, etc.). [For Module Three: The data exporter shall forward the information to the controller.]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agrees to preserve the information pursuant to paragraphs (a) to (c) for the duration of the contract and make it available to the competent supervisory authority on request.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Paragraphs (a) to (c) are without prejudice to the obligation of the data importer pursuant to Clause 14(e) and Clause 16 to inform the data exporter promptly where it is unable to comply with these Clauses.</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15.2</w:t>
        <w:tab/>
        <w:t>Review of legality and data minimisation</w:t>
      </w:r>
    </w:p>
    <w:p>
      <w:pPr>
        <w:pStyle w:val="Normal"/>
        <w:numPr>
          <w:ilvl w:val="1"/>
          <w:numId w:val="5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agrees to review the legality of the request for disclosure, in particular whether it remains within the powers granted to the requesting public authority, and to challenge the request if, after careful assessment,</w:t>
      </w:r>
      <w:r>
        <w:rPr>
          <w:rFonts w:cs="Calibri" w:ascii="Times New Roman" w:hAnsi="Times New Roman"/>
          <w:sz w:val="24"/>
          <w:lang w:val="en-US" w:eastAsia="en-US"/>
        </w:rPr>
        <w:t xml:space="preserve"> it </w:t>
      </w:r>
      <w:r>
        <w:rPr>
          <w:rFonts w:cs="Times New Roman" w:ascii="Times New Roman" w:hAnsi="Times New Roman"/>
          <w:sz w:val="24"/>
          <w:lang w:val="en-US" w:eastAsia="en-US"/>
        </w:rPr>
        <w:t>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IE" w:eastAsia="en-US"/>
        </w:rPr>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[For Module Three: </w:t>
      </w:r>
      <w:r>
        <w:rPr>
          <w:rFonts w:cs="Times New Roman" w:ascii="Times New Roman" w:hAnsi="Times New Roman"/>
          <w:sz w:val="24"/>
          <w:lang w:val="en-US" w:eastAsia="en-US"/>
        </w:rPr>
        <w:t>The data exporter shall make the assessment available to the controller.]</w:t>
      </w:r>
      <w:r>
        <w:rPr>
          <w:rFonts w:cs="Times New Roman" w:ascii="Times New Roman" w:hAnsi="Times New Roman"/>
          <w:sz w:val="24"/>
          <w:lang w:val="en-IE" w:eastAsia="en-US"/>
        </w:rPr>
        <w:t xml:space="preserve">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IE" w:eastAsia="en-US"/>
        </w:rPr>
        <w:t>The data importer agrees to provide the minimum amount of information permissible when responding to a request for disclosure, based on a reasonable interpretation of the request.</w:t>
      </w:r>
    </w:p>
    <w:p>
      <w:pPr>
        <w:pStyle w:val="Normal"/>
        <w:spacing w:lineRule="auto" w:line="240" w:before="120" w:after="120"/>
        <w:ind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SECTION IV – FINAL PROVISIONS</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16</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Non-compliance with the Clauses and termination</w:t>
      </w:r>
    </w:p>
    <w:p>
      <w:pPr>
        <w:pStyle w:val="Normal"/>
        <w:numPr>
          <w:ilvl w:val="1"/>
          <w:numId w:val="51"/>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importer shall promptly inform the data exporter if it is unable to comply with these Clauses, for whatever reason.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exporter shall be entitled to terminate the contract, insofar as it concerns the processing of personal data under these Clauses, where: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data exporter has suspended the transfer of personal data to the data importer pursuant to paragraph (b) and compliance with these Clauses is not restored within a reasonable time and in any event within one month of suspension;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is in substantial or persistent breach of these Clauses; or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data importer fails to comply with a binding decision of a competent court or supervisory authority regarding its obligations under these Clauses.</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these cases, it shall inform the competent supervisory authority [for Module Three: and the controller] of such non-compliance. Where the contract involves more than two Parties, the data exporter may exercise this right to termination only with respect to the relevant Party, unless the Parties have agreed otherwise.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[For Modules One, Two and Three: Personal data that has been transferred prior to the termination of the contract pursuant to paragraph (c) shall at the choice of the data exporter immediately be returned to the data exporter or deleted in its entirety. The same shall apply to any copies of the data.] [For Module Four: Personal data collected by the data exporter in the EU that has been transferred prior to the termination of the contract pursuant to paragraph (c) shall immediately be deleted in its entirety, including any copy thereof.]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Either Party may revoke its agreement to be bound by these Clauses where (i)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 </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17</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Governing law</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[OPTION 1: These Clauses shall be governed by the law of one of the EU Member States, provided such law allows for third-party beneficiary rights. The Parties agree that this shall be the law of _______ (</w:t>
      </w:r>
      <w:r>
        <w:rPr>
          <w:rFonts w:cs="Times New Roman" w:ascii="Times New Roman" w:hAnsi="Times New Roman"/>
          <w:i/>
          <w:sz w:val="24"/>
          <w:lang w:val="en-US" w:eastAsia="en-US"/>
        </w:rPr>
        <w:t>specify Member State</w:t>
      </w:r>
      <w:r>
        <w:rPr>
          <w:rFonts w:cs="Times New Roman" w:ascii="Times New Roman" w:hAnsi="Times New Roman"/>
          <w:sz w:val="24"/>
          <w:lang w:val="en-US" w:eastAsia="en-US"/>
        </w:rPr>
        <w:t xml:space="preserv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[OPTION 2 (for Modules Two and Three): These Clauses shall be governed by the law of the EU Member State in which the data exporter is established. Where such law does not allow for third-party beneficiary rights, they shall be governed by the law of another EU Member State that does allow for third-party beneficiary rights. The Parties agree that this shall be the law of _______ (</w:t>
      </w:r>
      <w:r>
        <w:rPr>
          <w:rFonts w:cs="Times New Roman" w:ascii="Times New Roman" w:hAnsi="Times New Roman"/>
          <w:i/>
          <w:sz w:val="24"/>
          <w:lang w:val="en-US" w:eastAsia="en-US"/>
        </w:rPr>
        <w:t>specify Member State</w:t>
      </w:r>
      <w:r>
        <w:rPr>
          <w:rFonts w:cs="Times New Roman" w:ascii="Times New Roman" w:hAnsi="Times New Roman"/>
          <w:sz w:val="24"/>
          <w:lang w:val="en-US" w:eastAsia="en-US"/>
        </w:rPr>
        <w:t xml:space="preserve">).]  </w:t>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These Clauses shall be governed by the law of a country allowing for third-party beneficiary rights. The Parties agree that this shall be the law of _______ (</w:t>
      </w:r>
      <w:r>
        <w:rPr>
          <w:rFonts w:cs="Times New Roman" w:ascii="Times New Roman" w:hAnsi="Times New Roman"/>
          <w:i/>
          <w:sz w:val="24"/>
          <w:lang w:val="en-US" w:eastAsia="en-US"/>
        </w:rPr>
        <w:t>specify country</w:t>
      </w:r>
      <w:r>
        <w:rPr>
          <w:rFonts w:cs="Times New Roman" w:ascii="Times New Roman" w:hAnsi="Times New Roman"/>
          <w:sz w:val="24"/>
          <w:lang w:val="en-US" w:eastAsia="en-US"/>
        </w:rPr>
        <w:t xml:space="preserve">). </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Clause 18</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Choice of forum and jurisdiction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numPr>
          <w:ilvl w:val="0"/>
          <w:numId w:val="0"/>
        </w:numPr>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numPr>
          <w:ilvl w:val="1"/>
          <w:numId w:val="52"/>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Any dispute arising from these Clauses shall be resolved by the courts of an EU Member State.</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agree that those shall be the courts of _____ (</w:t>
      </w:r>
      <w:r>
        <w:rPr>
          <w:rFonts w:cs="Times New Roman" w:ascii="Times New Roman" w:hAnsi="Times New Roman"/>
          <w:i/>
          <w:sz w:val="24"/>
          <w:lang w:val="en-US" w:eastAsia="en-US"/>
        </w:rPr>
        <w:t>specify Member State</w:t>
      </w:r>
      <w:r>
        <w:rPr>
          <w:rFonts w:cs="Times New Roman" w:ascii="Times New Roman" w:hAnsi="Times New Roman"/>
          <w:sz w:val="24"/>
          <w:lang w:val="en-US" w:eastAsia="en-US"/>
        </w:rPr>
        <w: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 data subject may also bring legal proceedings against the data exporter and/or data importer before the courts of the Member State in which he/she has his/her habitual residence.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Parties agree to submit themselves to the jurisdiction of such courts.</w:t>
      </w:r>
    </w:p>
    <w:p>
      <w:pPr>
        <w:pStyle w:val="Normal"/>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rPr>
          <w:rFonts w:ascii="Times New Roman" w:hAnsi="Times New Roman" w:cs="Times New Roman"/>
          <w:sz w:val="24"/>
          <w:lang w:val="en-US" w:eastAsia="en-US"/>
        </w:rPr>
      </w:pPr>
      <w:r>
        <w:rPr>
          <w:rFonts w:cs="Times New Roman" w:ascii="Times New Roman" w:hAnsi="Times New Roman"/>
          <w:b/>
          <w:sz w:val="24"/>
          <w:highlight w:val="lightGray"/>
          <w:lang w:val="en-US" w:eastAsia="en-US"/>
        </w:rPr>
        <w:t>MODULE FOUR: Transfer processor to controller</w:t>
      </w:r>
    </w:p>
    <w:p>
      <w:pPr>
        <w:pStyle w:val="Normal"/>
        <w:jc w:val="both"/>
        <w:rPr/>
      </w:pPr>
      <w:r>
        <w:rPr>
          <w:rFonts w:cs="Times New Roman" w:ascii="Times New Roman" w:hAnsi="Times New Roman"/>
          <w:sz w:val="24"/>
          <w:lang w:val="en-US" w:eastAsia="en-US"/>
        </w:rPr>
        <w:t>Any dispute arising from these Clauses shall be resolved by the courts of _____ (</w:t>
      </w:r>
      <w:r>
        <w:rPr>
          <w:rFonts w:cs="Times New Roman" w:ascii="Times New Roman" w:hAnsi="Times New Roman"/>
          <w:i/>
          <w:sz w:val="24"/>
          <w:lang w:val="en-US" w:eastAsia="en-US"/>
        </w:rPr>
        <w:t>specify country</w:t>
      </w:r>
      <w:r>
        <w:rPr>
          <w:rFonts w:cs="Times New Roman" w:ascii="Times New Roman" w:hAnsi="Times New Roman"/>
          <w:sz w:val="24"/>
          <w:lang w:val="en-US" w:eastAsia="en-US"/>
        </w:rPr>
        <w:t>).</w:t>
      </w:r>
      <w:r>
        <w:br w:type="page"/>
      </w:r>
    </w:p>
    <w:p>
      <w:pPr>
        <w:pStyle w:val="Normal"/>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APPENDIX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EXPLANATORY NOTE: </w:t>
      </w:r>
    </w:p>
    <w:p>
      <w:pPr>
        <w:pStyle w:val="Normal"/>
        <w:spacing w:lineRule="auto" w:line="240" w:before="120" w:after="120"/>
        <w:jc w:val="both"/>
        <w:rPr>
          <w:rFonts w:ascii="Times New Roman" w:hAnsi="Times New Roman" w:cs="Times New Roman"/>
          <w:b/>
          <w:sz w:val="24"/>
          <w:u w:val="single"/>
          <w:lang w:val="en-US" w:eastAsia="en-US"/>
        </w:rPr>
      </w:pPr>
      <w:r>
        <w:rPr>
          <w:rFonts w:cs="Times New Roman" w:ascii="Times New Roman" w:hAnsi="Times New Roman"/>
          <w:sz w:val="24"/>
          <w:lang w:val="en-US" w:eastAsia="en-US"/>
        </w:rPr>
        <w:t>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achieved through one appendix. However, where necessary to ensure sufficient clarity, separate appendices should be used.</w:t>
      </w:r>
    </w:p>
    <w:p>
      <w:pPr>
        <w:pStyle w:val="Normal"/>
        <w:spacing w:lineRule="auto" w:line="240" w:before="240" w:after="120"/>
        <w:jc w:val="both"/>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ANNEX I</w:t>
      </w:r>
    </w:p>
    <w:p>
      <w:pPr>
        <w:pStyle w:val="Normal"/>
        <w:spacing w:lineRule="auto" w:line="240" w:before="240" w:after="120"/>
        <w:ind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A. LIST OF PARTIES</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lang w:val="en-US" w:eastAsia="en-US"/>
        </w:rPr>
        <w:t xml:space="preserve">Data exporter(s): </w:t>
      </w:r>
      <w:r>
        <w:rPr>
          <w:rFonts w:cs="Times New Roman" w:ascii="Times New Roman" w:hAnsi="Times New Roman"/>
          <w:sz w:val="24"/>
          <w:lang w:val="en-US" w:eastAsia="en-US"/>
        </w:rPr>
        <w:t>[</w:t>
      </w:r>
      <w:r>
        <w:rPr>
          <w:rFonts w:cs="Times New Roman" w:ascii="Times New Roman" w:hAnsi="Times New Roman"/>
          <w:i/>
          <w:sz w:val="24"/>
          <w:lang w:val="en-US" w:eastAsia="en-US"/>
        </w:rPr>
        <w:t xml:space="preserve">Identity and contact details of the data exporter(s) and, where applicable, of its/their data protection officer and/or representative in the European Union]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1. Name: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Address: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Contact person’s name, position and contact details: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Activities relevant to the data transferred under these Clauses: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Signature and date: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Role (controller/processor):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2.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lang w:val="en-US" w:eastAsia="en-US"/>
        </w:rPr>
        <w:t xml:space="preserve">Data importer(s): </w:t>
      </w:r>
      <w:r>
        <w:rPr>
          <w:rFonts w:cs="Times New Roman" w:ascii="Times New Roman" w:hAnsi="Times New Roman"/>
          <w:sz w:val="24"/>
          <w:lang w:val="en-US" w:eastAsia="en-US"/>
        </w:rPr>
        <w:t>[</w:t>
      </w:r>
      <w:r>
        <w:rPr>
          <w:rFonts w:cs="Times New Roman" w:ascii="Times New Roman" w:hAnsi="Times New Roman"/>
          <w:i/>
          <w:sz w:val="24"/>
          <w:lang w:val="en-US" w:eastAsia="en-US"/>
        </w:rPr>
        <w:t>Identity and contact details of the data importer(s), including any contact person with responsibility for data protection]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1. Name: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Address: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Contact person’s name, position and contact details: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Activities relevant to the data transferred under these Clauses: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Signature and date: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Role (controller/processor):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2. …</w:t>
      </w:r>
    </w:p>
    <w:p>
      <w:pPr>
        <w:pStyle w:val="Normal"/>
        <w:spacing w:lineRule="auto" w:line="240" w:before="240" w:after="120"/>
        <w:ind w:start="851" w:end="0"/>
        <w:jc w:val="both"/>
        <w:rPr>
          <w:rFonts w:ascii="Times New Roman" w:hAnsi="Times New Roman" w:cs="Times New Roman"/>
          <w:b/>
          <w:sz w:val="24"/>
          <w:lang w:val="en-US" w:eastAsia="en-US"/>
        </w:rPr>
      </w:pPr>
      <w:bookmarkStart w:id="2" w:name="_Ref42601435"/>
      <w:r>
        <w:rPr>
          <w:rFonts w:cs="Times New Roman" w:ascii="Times New Roman" w:hAnsi="Times New Roman"/>
          <w:b/>
          <w:sz w:val="24"/>
          <w:lang w:val="en-US" w:eastAsia="en-US"/>
        </w:rPr>
        <w:t>B. DESCRIPTION OF TRANSFER</w:t>
      </w:r>
      <w:bookmarkEnd w:id="2"/>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FOUR: Transfer processor to controller</w:t>
      </w:r>
      <w:r>
        <w:rPr>
          <w:rFonts w:cs="Times New Roman" w:ascii="Times New Roman" w:hAnsi="Times New Roman"/>
          <w:b/>
          <w:sz w:val="24"/>
          <w:lang w:val="en-US" w:eastAsia="en-US"/>
        </w:rPr>
        <w:t xml:space="preserve"> </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Categories of data subjects whose personal data is transferred</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Categories of personal data transferred</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The frequency of the transfer (e.g. whether the data is transferred on a one-off or continuous basis).</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Nature of the processing</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Purpose(s) of the data transfer and further processing</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The period for which the personal data will be retained, or, if that is not possible, the criteria used to determine that period </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For transfers to (sub-) processors, also specify subject matter, nature and duration of the processing</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r>
      <w:r>
        <w:br w:type="page"/>
      </w:r>
    </w:p>
    <w:p>
      <w:pPr>
        <w:pStyle w:val="Normal"/>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ind w:start="850" w:end="0"/>
        <w:jc w:val="both"/>
        <w:rPr>
          <w:rFonts w:ascii="Times New Roman" w:hAnsi="Times New Roman" w:cs="Times New Roman"/>
          <w:b/>
          <w:sz w:val="24"/>
          <w:lang w:val="en-US" w:eastAsia="en-US"/>
        </w:rPr>
      </w:pPr>
      <w:r>
        <w:rPr>
          <w:rFonts w:cs="Times New Roman" w:ascii="Times New Roman" w:hAnsi="Times New Roman"/>
          <w:b/>
          <w:sz w:val="24"/>
          <w:lang w:val="en-US" w:eastAsia="en-US"/>
        </w:rPr>
        <w:t>C. COMPETENT SUPERVISORY AUTHORITY</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b/>
          <w:i/>
          <w:i/>
          <w:sz w:val="24"/>
          <w:highlight w:val="lightGray"/>
          <w:lang w:val="en-US" w:eastAsia="en-US"/>
        </w:rPr>
      </w:pPr>
      <w:r>
        <w:rPr>
          <w:rFonts w:cs="Times New Roman" w:ascii="Times New Roman" w:hAnsi="Times New Roman"/>
          <w:b/>
          <w:i/>
          <w:sz w:val="24"/>
          <w:highlight w:val="lightGray"/>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Identify the competent supervisory authority/ies in accordance with Clause 13</w:t>
      </w:r>
    </w:p>
    <w:p>
      <w:pPr>
        <w:pStyle w:val="Normal"/>
        <w:spacing w:lineRule="auto" w:line="240" w:before="120" w:after="120"/>
        <w:jc w:val="both"/>
        <w:rPr>
          <w:rFonts w:ascii="Times New Roman" w:hAnsi="Times New Roman" w:cs="Times New Roman"/>
          <w:b/>
          <w:i/>
          <w:i/>
          <w:sz w:val="32"/>
          <w:szCs w:val="32"/>
          <w:u w:val="single"/>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r>
        <w:br w:type="page"/>
      </w:r>
    </w:p>
    <w:p>
      <w:pPr>
        <w:pStyle w:val="Normal"/>
        <w:spacing w:lineRule="auto" w:line="240" w:before="120" w:after="120"/>
        <w:jc w:val="both"/>
        <w:rPr>
          <w:rFonts w:ascii="Times New Roman" w:hAnsi="Times New Roman" w:cs="Times New Roman"/>
          <w:b/>
          <w:i/>
          <w:i/>
          <w:sz w:val="32"/>
          <w:szCs w:val="32"/>
          <w:u w:val="single"/>
          <w:lang w:val="en-US" w:eastAsia="en-US"/>
        </w:rPr>
      </w:pPr>
      <w:r>
        <w:rPr>
          <w:rFonts w:cs="Times New Roman" w:ascii="Times New Roman" w:hAnsi="Times New Roman"/>
          <w:b/>
          <w:i/>
          <w:sz w:val="32"/>
          <w:szCs w:val="32"/>
          <w:u w:val="single"/>
          <w:lang w:val="en-US" w:eastAsia="en-US"/>
        </w:rPr>
      </w:r>
    </w:p>
    <w:p>
      <w:pPr>
        <w:pStyle w:val="Normal"/>
        <w:spacing w:lineRule="auto" w:line="240" w:before="120" w:after="120"/>
        <w:jc w:val="both"/>
        <w:rPr>
          <w:rFonts w:ascii="Times New Roman" w:hAnsi="Times New Roman" w:cs="Times New Roman"/>
          <w:b/>
          <w:sz w:val="24"/>
          <w:szCs w:val="24"/>
          <w:u w:val="single"/>
          <w:lang w:val="en-US" w:eastAsia="en-US"/>
        </w:rPr>
      </w:pPr>
      <w:r>
        <w:rPr>
          <w:rFonts w:cs="Times New Roman" w:ascii="Times New Roman" w:hAnsi="Times New Roman"/>
          <w:b/>
          <w:sz w:val="24"/>
          <w:u w:val="single"/>
          <w:lang w:val="en-US" w:eastAsia="en-US"/>
        </w:rPr>
        <w:t xml:space="preserve">ANNEX II - TECHNICAL AND ORGANISATIONAL MEASURES </w:t>
      </w:r>
      <w:r>
        <w:rPr>
          <w:rFonts w:cs="Times New Roman" w:ascii="Times New Roman" w:hAnsi="Times New Roman"/>
          <w:b/>
          <w:sz w:val="24"/>
          <w:szCs w:val="24"/>
          <w:u w:val="single"/>
          <w:lang w:val="en-US" w:eastAsia="en-US"/>
        </w:rPr>
        <w:t>INCLUDING TECHNICAL AND ORGANISATIONAL MEASURES TO ENSURE THE SECURITY OF THE DATA</w:t>
      </w:r>
    </w:p>
    <w:p>
      <w:pPr>
        <w:pStyle w:val="Normal"/>
        <w:spacing w:lineRule="auto" w:line="240" w:before="120" w:after="120"/>
        <w:jc w:val="both"/>
        <w:rPr>
          <w:rFonts w:ascii="Times New Roman" w:hAnsi="Times New Roman" w:cs="Times New Roman"/>
          <w:b/>
          <w:sz w:val="24"/>
          <w:szCs w:val="24"/>
          <w:highlight w:val="lightGray"/>
          <w:u w:val="single"/>
          <w:lang w:val="en-US" w:eastAsia="en-US"/>
        </w:rPr>
      </w:pPr>
      <w:r>
        <w:rPr>
          <w:rFonts w:cs="Times New Roman" w:ascii="Times New Roman" w:hAnsi="Times New Roman"/>
          <w:b/>
          <w:sz w:val="24"/>
          <w:szCs w:val="24"/>
          <w:highlight w:val="lightGray"/>
          <w:u w:val="single"/>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ONE: Transfer controller to controller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EXPLANATORY NOTE: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The technical and organisational measures must be described in specific (and not generic) terms. See also the general comment on the first page of the Appendix, in particular on the need to clearly indicate which measures apply to each transfer/set of transfers.</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Description of the technical and organisational measures implemented by the data importer(s) (including any relevant certifications) to ensure an appropriate level of security, taking into account the nature, scope, context and purpose of the processing, and the risks for the rights and freedoms of natural persons.</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[Examples of possible measures:</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u w:val="single"/>
          <w:lang w:val="en-US" w:eastAsia="en-US"/>
        </w:rPr>
      </w:pPr>
      <w:r>
        <w:rPr>
          <w:rFonts w:cs="Times New Roman" w:ascii="Times New Roman" w:hAnsi="Times New Roman"/>
          <w:i/>
          <w:sz w:val="24"/>
          <w:szCs w:val="24"/>
          <w:lang w:val="en-US" w:eastAsia="en-US"/>
        </w:rPr>
        <w:t>Measures of pseudonymisation and encryption of personal data</w:t>
      </w:r>
    </w:p>
    <w:p>
      <w:pPr>
        <w:pStyle w:val="Normal"/>
        <w:spacing w:lineRule="auto" w:line="240" w:before="120" w:after="120"/>
        <w:contextualSpacing/>
        <w:jc w:val="both"/>
        <w:rPr>
          <w:rFonts w:ascii="Times New Roman" w:hAnsi="Times New Roman" w:cs="Times New Roman"/>
          <w:i/>
          <w:i/>
          <w:sz w:val="24"/>
          <w:szCs w:val="24"/>
          <w:u w:val="single"/>
          <w:lang w:val="en-US" w:eastAsia="en-US"/>
        </w:rPr>
      </w:pPr>
      <w:r>
        <w:rPr>
          <w:rFonts w:cs="Times New Roman" w:ascii="Times New Roman" w:hAnsi="Times New Roman"/>
          <w:i/>
          <w:sz w:val="24"/>
          <w:szCs w:val="24"/>
          <w:u w:val="single"/>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ongoing confidentiality, integrity, availability and resilience of processing systems and services</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the ability to restore the availability and access to personal data in a timely manner in the event of a physical or technical incident</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Processes for regularly testing, assessing and evaluating the effectiveness of technical and organisational measures in order to ensure the security of the processing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user identification and authorisation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ab/>
        <w:t>Measures for the protection of data during transmission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the protection of data during storage</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physical security of locations at which personal data are processed</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events logging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system configuration, including default configuration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internal IT and IT security governance and management</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certification/assurance of processes and products</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data minimisation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data quality</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limited data retention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Measures for ensuring accountability</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lang w:val="en-US" w:eastAsia="en-US"/>
        </w:rPr>
      </w:pPr>
      <w:r>
        <w:rPr>
          <w:rFonts w:cs="Times New Roman" w:ascii="Times New Roman" w:hAnsi="Times New Roman"/>
          <w:i/>
          <w:sz w:val="24"/>
          <w:szCs w:val="24"/>
          <w:lang w:val="en-US" w:eastAsia="en-US"/>
        </w:rPr>
        <w:t>Measures for allowing data portability and ensuring erasure]</w:t>
      </w:r>
    </w:p>
    <w:p>
      <w:pPr>
        <w:pStyle w:val="Normal"/>
        <w:spacing w:lineRule="auto" w:line="240" w:before="120" w:after="240"/>
        <w:jc w:val="both"/>
        <w:rPr>
          <w:rFonts w:ascii="Times New Roman" w:hAnsi="Times New Roman" w:cs="Times New Roman"/>
          <w:b/>
          <w:i/>
          <w:i/>
          <w:sz w:val="24"/>
          <w:highlight w:val="lightGray"/>
          <w:lang w:val="en-US" w:eastAsia="en-US"/>
        </w:rPr>
      </w:pPr>
      <w:r>
        <w:rPr>
          <w:rFonts w:cs="Times New Roman" w:ascii="Times New Roman" w:hAnsi="Times New Roman"/>
          <w:b/>
          <w:i/>
          <w:sz w:val="24"/>
          <w:highlight w:val="lightGray"/>
          <w:lang w:val="en-US" w:eastAsia="en-US"/>
        </w:rPr>
      </w:r>
    </w:p>
    <w:p>
      <w:pPr>
        <w:pStyle w:val="Normal"/>
        <w:spacing w:lineRule="auto" w:line="240" w:before="120" w:after="240"/>
        <w:jc w:val="both"/>
        <w:rPr>
          <w:rFonts w:ascii="Times New Roman" w:hAnsi="Times New Roman" w:cs="Times New Roman"/>
          <w:sz w:val="24"/>
          <w:lang w:val="en-US" w:eastAsia="en-US"/>
        </w:rPr>
      </w:pPr>
      <w:r>
        <w:rPr>
          <w:rFonts w:cs="Times New Roman" w:ascii="Times New Roman" w:hAnsi="Times New Roman"/>
          <w:i/>
          <w:sz w:val="24"/>
          <w:lang w:val="en-US" w:eastAsia="en-US"/>
        </w:rPr>
        <w:t>For transfers to (sub-) processors, also</w:t>
      </w:r>
      <w:r>
        <w:rPr>
          <w:rFonts w:cs="Times New Roman" w:ascii="Times New Roman" w:hAnsi="Times New Roman"/>
          <w:sz w:val="24"/>
          <w:lang w:val="en-US" w:eastAsia="en-US"/>
        </w:rPr>
        <w:t xml:space="preserve"> </w:t>
      </w:r>
      <w:r>
        <w:rPr>
          <w:rFonts w:cs="Times New Roman" w:ascii="Times New Roman" w:hAnsi="Times New Roman"/>
          <w:i/>
          <w:sz w:val="24"/>
          <w:lang w:val="en-US" w:eastAsia="en-US"/>
        </w:rPr>
        <w:t>describe the specific technical and organisational measures to be taken by the (sub-) processor to be able to provide assistance to the controller and, for transfers from a processor to a sub-processor, to the data exporter</w:t>
      </w:r>
      <w:r>
        <w:br w:type="page"/>
      </w:r>
    </w:p>
    <w:p>
      <w:pPr>
        <w:pStyle w:val="Normal"/>
        <w:spacing w:lineRule="auto" w:line="240" w:before="120" w:after="24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ANNEX III – LIST OF SUB-PROCESSORS</w:t>
      </w:r>
    </w:p>
    <w:p>
      <w:pPr>
        <w:pStyle w:val="Normal"/>
        <w:spacing w:lineRule="auto" w:line="240" w:before="120" w:after="120"/>
        <w:jc w:val="both"/>
        <w:rPr>
          <w:rFonts w:ascii="Times New Roman" w:hAnsi="Times New Roman" w:cs="Times New Roman"/>
          <w:b/>
          <w:sz w:val="24"/>
          <w:highlight w:val="lightGray"/>
          <w:u w:val="single"/>
          <w:lang w:val="en-US" w:eastAsia="en-US"/>
        </w:rPr>
      </w:pPr>
      <w:r>
        <w:rPr>
          <w:rFonts w:cs="Times New Roman" w:ascii="Times New Roman" w:hAnsi="Times New Roman"/>
          <w:b/>
          <w:sz w:val="24"/>
          <w:highlight w:val="lightGray"/>
          <w:u w:val="single"/>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TWO: Transfer controller to processor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MODULE THREE: Transfer processor to processor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EXPLANATORY NOTE: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This Annex must be completed for Modules Two and Three, in case of the specific authorisation of sub-processors (Clause 9(a), Option 1). </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The controller has authorised the use of the following sub-processors: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1. Name: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Address: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Contact person’s name, position and contact details: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Description of processing (including a clear delimitation of responsibilities in case several sub-processors are authorised):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2. …</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before="0" w:after="200"/>
        <w:rPr>
          <w:rFonts w:ascii="Times New Roman" w:hAnsi="Times New Roman" w:cs="Times New Roman"/>
          <w:sz w:val="24"/>
          <w:lang w:val="en-US" w:eastAsia="en-US"/>
        </w:rPr>
      </w:pPr>
      <w:r>
        <w:rPr>
          <w:rFonts w:cs="Times New Roman" w:ascii="Times New Roman" w:hAnsi="Times New Roman"/>
          <w:sz w:val="24"/>
          <w:lang w:val="en-US" w:eastAsia="en-US"/>
        </w:rPr>
      </w:r>
    </w:p>
    <w:sectPr>
      <w:headerReference w:type="default" r:id="rId5"/>
      <w:headerReference w:type="first" r:id="rId6"/>
      <w:footerReference w:type="default" r:id="rId7"/>
      <w:footerReference w:type="first" r:id="rId8"/>
      <w:footnotePr>
        <w:numFmt w:val="decimal"/>
      </w:footnotePr>
      <w:type w:val="nextPage"/>
      <w:pgSz w:w="11906" w:h="16838"/>
      <w:pgMar w:left="1417" w:right="1417"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Segoe U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CoverPage"/>
      <w:spacing w:lineRule="auto" w:line="240" w:before="360" w:after="0"/>
      <w:ind w:hanging="0" w:start="-850" w:end="-850"/>
      <w:rPr/>
    </w:pPr>
    <w:r>
      <w:rPr>
        <w:rFonts w:cs="Arial" w:ascii="Arial" w:hAnsi="Arial"/>
        <w:b/>
        <w:sz w:val="48"/>
      </w:rPr>
      <w:t>EN</w:t>
      <w:tab/>
      <w:tab/>
    </w:r>
    <w:r>
      <w:rPr/>
      <w:tab/>
    </w:r>
    <w:r>
      <w:rPr>
        <w:rFonts w:cs="Arial" w:ascii="Arial" w:hAnsi="Arial"/>
        <w:b/>
        <w:sz w:val="48"/>
      </w:rPr>
      <w:t>EN</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Fonts w:cs="Arial" w:ascii="Arial" w:hAnsi="Arial"/>
        <w:b/>
        <w:sz w:val="48"/>
      </w:rPr>
      <w:t>EN</w:t>
      <w:tab/>
    </w:r>
    <w:r>
      <w:rPr/>
      <w:fldChar w:fldCharType="begin"/>
    </w:r>
    <w:r>
      <w:rPr/>
      <w:instrText xml:space="preserve"> PAGE </w:instrText>
    </w:r>
    <w:r>
      <w:rPr/>
      <w:fldChar w:fldCharType="separate"/>
    </w:r>
    <w:r>
      <w:rPr/>
      <w:t>32</w:t>
    </w:r>
    <w:r>
      <w:rPr/>
      <w:fldChar w:fldCharType="end"/>
    </w:r>
    <w:r>
      <w:rPr/>
      <w:tab/>
    </w:r>
    <w:r>
      <w:rPr>
        <w:rFonts w:cs="Arial" w:ascii="Arial" w:hAnsi="Arial"/>
        <w:b/>
        <w:sz w:val="48"/>
      </w:rPr>
      <w:t>EN</w:t>
    </w:r>
    <w:r>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ind w:hanging="284" w:start="284" w:end="0"/>
        <w:rPr/>
      </w:pPr>
      <w:r>
        <w:rPr>
          <w:rStyle w:val="FootnoteCharacters"/>
        </w:rPr>
        <w:footnoteRef/>
      </w:r>
      <w:r>
        <w:rPr/>
        <w:tab/>
        <w:t xml:space="preserve"> </w:t>
      </w:r>
      <w:r>
        <w:rPr/>
        <w:tab/>
        <w:t>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of 21.11.2018, p. 39),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w:t>
      </w:r>
    </w:p>
  </w:footnote>
  <w:footnote w:id="3">
    <w:p>
      <w:pPr>
        <w:pStyle w:val="FootnoteText"/>
        <w:ind w:hanging="284" w:start="284" w:end="0"/>
        <w:rPr/>
      </w:pPr>
      <w:r>
        <w:rPr>
          <w:rStyle w:val="FootnoteCharacters"/>
        </w:rPr>
        <w:footnoteRef/>
      </w:r>
      <w:r>
        <w:rPr/>
        <w:tab/>
        <w:t xml:space="preserve"> </w:t>
      </w:r>
      <w:r>
        <w:rPr/>
        <w:tab/>
        <w:t>This requires rendering the data anonymous in such a way that the individual is no longer identifiable by anyone, in line with recital 26 of Regulation (EU) 2016/679, and that this process is irreversible.</w:t>
      </w:r>
    </w:p>
  </w:footnote>
  <w:footnote w:id="4">
    <w:p>
      <w:pPr>
        <w:pStyle w:val="FootnoteText"/>
        <w:ind w:hanging="284" w:start="284" w:end="0"/>
        <w:rPr/>
      </w:pPr>
      <w:r>
        <w:rPr>
          <w:rStyle w:val="FootnoteCharacters"/>
        </w:rPr>
        <w:footnoteRef/>
      </w:r>
      <w:r>
        <w:rPr/>
        <w:tab/>
        <w:t xml:space="preserve"> </w:t>
      </w:r>
      <w:r>
        <w:rPr/>
        <w:tab/>
        <w:t>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pPr>
        <w:pStyle w:val="FootnoteText"/>
        <w:ind w:hanging="0" w:start="0" w:end="0"/>
        <w:rPr/>
      </w:pPr>
      <w:r>
        <w:rPr/>
      </w:r>
    </w:p>
    <w:p>
      <w:pPr>
        <w:pStyle w:val="FootnoteText"/>
        <w:ind w:start="0" w:end="0"/>
        <w:rPr/>
      </w:pPr>
      <w:r>
        <w:rPr/>
      </w:r>
    </w:p>
  </w:footnote>
  <w:footnote w:id="5">
    <w:p>
      <w:pPr>
        <w:pStyle w:val="FootnoteText"/>
        <w:ind w:hanging="284" w:start="284" w:end="0"/>
        <w:rPr/>
      </w:pPr>
      <w:r>
        <w:rPr>
          <w:rStyle w:val="FootnoteCharacters"/>
        </w:rPr>
        <w:footnoteRef/>
      </w:r>
      <w:r>
        <w:rPr/>
        <w:tab/>
        <w:t xml:space="preserve"> </w:t>
      </w:r>
      <w:r>
        <w:rPr/>
        <w:tab/>
        <w:t>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pPr>
        <w:pStyle w:val="FootnoteText"/>
        <w:ind w:hanging="0" w:start="0" w:end="0"/>
        <w:rPr/>
      </w:pPr>
      <w:r>
        <w:rPr/>
      </w:r>
    </w:p>
  </w:footnote>
  <w:footnote w:id="6">
    <w:p>
      <w:pPr>
        <w:pStyle w:val="FootnoteText"/>
        <w:ind w:hanging="0" w:start="0" w:end="0"/>
        <w:rPr/>
      </w:pPr>
      <w:r>
        <w:rPr>
          <w:rStyle w:val="FootnoteCharacters"/>
        </w:rPr>
        <w:footnoteRef/>
      </w:r>
      <w:r>
        <w:rPr/>
        <w:t xml:space="preserve"> </w:t>
      </w:r>
      <w:r>
        <w:rPr/>
        <w:t>See Article 28(4) of Regulation (EU) 2016/679 and, where the controller is an EU institution or body, Article 29(4) of Regulation (EU) 2018/1725.</w:t>
      </w:r>
    </w:p>
  </w:footnote>
  <w:footnote w:id="7">
    <w:p>
      <w:pPr>
        <w:pStyle w:val="FootnoteText"/>
        <w:ind w:hanging="284" w:start="284" w:end="0"/>
        <w:rPr/>
      </w:pPr>
      <w:r>
        <w:rPr>
          <w:rStyle w:val="FootnoteCharacters"/>
        </w:rPr>
        <w:footnoteRef/>
      </w:r>
      <w:r>
        <w:rPr/>
        <w:tab/>
        <w:t xml:space="preserve"> </w:t>
      </w:r>
      <w:r>
        <w:rPr/>
        <w:tab/>
        <w:t>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purposes of these Clauses.</w:t>
      </w:r>
    </w:p>
    <w:p>
      <w:pPr>
        <w:pStyle w:val="FootnoteText"/>
        <w:rPr/>
      </w:pPr>
      <w:r>
        <w:rPr/>
      </w:r>
    </w:p>
    <w:p>
      <w:pPr>
        <w:pStyle w:val="FootnoteText"/>
        <w:rPr/>
      </w:pPr>
      <w:r>
        <w:rPr/>
      </w:r>
    </w:p>
  </w:footnote>
  <w:footnote w:id="8">
    <w:p>
      <w:pPr>
        <w:pStyle w:val="FootnoteText"/>
        <w:ind w:hanging="284" w:start="284" w:end="0"/>
        <w:rPr/>
      </w:pPr>
      <w:r>
        <w:rPr>
          <w:rStyle w:val="FootnoteCharacters"/>
        </w:rPr>
        <w:footnoteRef/>
      </w:r>
      <w:r>
        <w:rPr/>
        <w:tab/>
        <w:t xml:space="preserve"> </w:t>
      </w:r>
      <w:r>
        <w:rPr/>
        <w:tab/>
        <w:t>This includes whether the transfer and further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or offences.</w:t>
      </w:r>
    </w:p>
  </w:footnote>
  <w:footnote w:id="9">
    <w:p>
      <w:pPr>
        <w:pStyle w:val="FootnoteText"/>
        <w:ind w:hanging="284" w:start="284" w:end="0"/>
        <w:rPr/>
      </w:pPr>
      <w:r>
        <w:rPr>
          <w:rStyle w:val="FootnoteCharacters"/>
        </w:rPr>
        <w:footnoteRef/>
      </w:r>
      <w:r>
        <w:rPr/>
        <w:tab/>
        <w:t xml:space="preserve"> </w:t>
      </w:r>
      <w:r>
        <w:rPr/>
        <w:tab/>
        <w:t>This requirement may be satisfied by the sub-processor acceding to these Clauses under the appropriate Module, in accordance with Clause 7.</w:t>
      </w:r>
    </w:p>
  </w:footnote>
  <w:footnote w:id="10">
    <w:p>
      <w:pPr>
        <w:pStyle w:val="FootnoteText"/>
        <w:ind w:hanging="284" w:start="284" w:end="0"/>
        <w:rPr/>
      </w:pPr>
      <w:r>
        <w:rPr>
          <w:rStyle w:val="FootnoteCharacters"/>
        </w:rPr>
        <w:footnoteRef/>
      </w:r>
      <w:r>
        <w:rPr/>
        <w:tab/>
        <w:t xml:space="preserve"> </w:t>
      </w:r>
      <w:r>
        <w:rPr/>
        <w:tab/>
        <w:t>This requirement may be satisfied by the sub-processor acceding to these Clauses under the appropriate Module, in accordance with Clause 7.</w:t>
      </w:r>
    </w:p>
  </w:footnote>
  <w:footnote w:id="11">
    <w:p>
      <w:pPr>
        <w:pStyle w:val="FootnoteText"/>
        <w:ind w:hanging="284" w:start="284" w:end="0"/>
        <w:rPr/>
      </w:pPr>
      <w:r>
        <w:rPr>
          <w:rStyle w:val="FootnoteCharacters"/>
        </w:rPr>
        <w:footnoteRef/>
      </w:r>
      <w:r>
        <w:rPr/>
        <w:tab/>
        <w:t xml:space="preserve"> </w:t>
      </w:r>
      <w:r>
        <w:rPr/>
        <w:tab/>
        <w:t xml:space="preserve">That period may be extended by a maximum of two more months, to the extent necessary taking into account the complexity and number of requests. The data importer shall duly and promptly inform the data subject of any such extension. </w:t>
      </w:r>
    </w:p>
  </w:footnote>
  <w:footnote w:id="12">
    <w:p>
      <w:pPr>
        <w:pStyle w:val="FootnoteText"/>
        <w:ind w:hanging="284" w:start="284" w:end="0"/>
        <w:rPr/>
      </w:pPr>
      <w:r>
        <w:rPr>
          <w:rStyle w:val="FootnoteCharacters"/>
        </w:rPr>
        <w:footnoteRef/>
      </w:r>
      <w:r>
        <w:rPr/>
        <w:tab/>
        <w:t xml:space="preserve"> </w:t>
      </w:r>
      <w:r>
        <w:rPr/>
        <w:tab/>
        <w:t xml:space="preserve">The data importer may offer independent dispute resolution through an arbitration body only if it is </w:t>
      </w:r>
      <w:r>
        <w:rPr>
          <w:lang w:val="en-IE"/>
        </w:rPr>
        <w:t>established in a country that has ratified the New York Convention on Enforcement of Arbitration Awards.</w:t>
        <w:tab/>
      </w:r>
    </w:p>
  </w:footnote>
  <w:footnote w:id="13">
    <w:p>
      <w:pPr>
        <w:pStyle w:val="FootnoteText"/>
        <w:ind w:hanging="284" w:start="284" w:end="0"/>
        <w:rPr/>
      </w:pPr>
      <w:r>
        <w:rPr>
          <w:rStyle w:val="FootnoteCharacters"/>
        </w:rPr>
        <w:footnoteRef/>
      </w:r>
      <w:r>
        <w:rPr/>
        <w:tab/>
        <w:t xml:space="preserve"> </w:t>
      </w:r>
      <w:r>
        <w:rPr/>
        <w:tab/>
      </w:r>
      <w:r>
        <w:rPr>
          <w:lang w:eastAsia="en-GB"/>
        </w:rPr>
        <w:t xml:space="preserve">As regards the impact of such laws and practices on compliance with these Clauses, different elements may be considered as part of an overall assessment. Such elements may include relevant and documented practical experience </w:t>
      </w:r>
      <w:r>
        <w:rPr/>
        <w:t>with prior instances of requests for disclosure from public authorities, or the absence of such requests, covering a sufficiently representative time-frame. This refers in particular to internal records or other documentation, drawn up on a continuous basis in accordance with due diligence and certified at senior management level, provided that this information can be lawfully shared with third parties. Where this practical experience is relied upon to conclude that the data importer will not be prevented from complying with these Clauses, it needs to be supported by other relevant, objective elements, and it is for the Parties to consider carefully whether these elements together carry sufficient weight, in terms of their reliability and representativeness, to support this conclusion. In particular, the Parties have to take into account whether their practical experience is corroborated and not contradicted by publicly available or otherwise accessible, reliable information on the existence or absence of requests within the same sector and/or the application of the law in practice, such as case law and reports by independent oversight bodies.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CoverPage"/>
      <w:spacing w:lineRule="auto" w:line="240" w:before="0" w:after="120"/>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850"/>
        </w:tabs>
        <w:ind w:start="850" w:hanging="850"/>
      </w:pPr>
    </w:lvl>
    <w:lvl w:ilvl="1">
      <w:start w:val="1"/>
      <w:pStyle w:val="Heading2"/>
      <w:numFmt w:val="decimal"/>
      <w:lvlText w:val="%1.%2."/>
      <w:lvlJc w:val="start"/>
      <w:pPr>
        <w:tabs>
          <w:tab w:val="num" w:pos="850"/>
        </w:tabs>
        <w:ind w:start="850" w:hanging="850"/>
      </w:pPr>
    </w:lvl>
    <w:lvl w:ilvl="2">
      <w:start w:val="1"/>
      <w:pStyle w:val="Heading3"/>
      <w:numFmt w:val="decimal"/>
      <w:lvlText w:val="%1.%2.%3."/>
      <w:lvlJc w:val="start"/>
      <w:pPr>
        <w:tabs>
          <w:tab w:val="num" w:pos="850"/>
        </w:tabs>
        <w:ind w:start="850" w:hanging="850"/>
      </w:pPr>
    </w:lvl>
    <w:lvl w:ilvl="3">
      <w:start w:val="1"/>
      <w:pStyle w:val="Heading4"/>
      <w:numFmt w:val="decimal"/>
      <w:lvlText w:val="%1.%2.%3.%4."/>
      <w:lvlJc w:val="start"/>
      <w:pPr>
        <w:tabs>
          <w:tab w:val="num" w:pos="850"/>
        </w:tabs>
        <w:ind w:start="850" w:hanging="850"/>
      </w:pPr>
    </w:lvl>
    <w:lvl w:ilvl="4">
      <w:start w:val="1"/>
      <w:numFmt w:val="lowerLetter"/>
      <w:lvlText w:val="(%5)"/>
      <w:lvlJc w:val="start"/>
      <w:pPr>
        <w:tabs>
          <w:tab w:val="num" w:pos="0"/>
        </w:tabs>
        <w:ind w:start="1800" w:hanging="360"/>
      </w:pPr>
    </w:lvl>
    <w:lvl w:ilvl="5">
      <w:start w:val="1"/>
      <w:numFmt w:val="lowerRoman"/>
      <w:lvlText w:val="(%6)"/>
      <w:lvlJc w:val="start"/>
      <w:pPr>
        <w:tabs>
          <w:tab w:val="num" w:pos="0"/>
        </w:tabs>
        <w:ind w:start="2160" w:hanging="360"/>
      </w:pPr>
    </w:lvl>
    <w:lvl w:ilvl="6">
      <w:start w:val="1"/>
      <w:numFmt w:val="decimal"/>
      <w:lvlText w:val="%7."/>
      <w:lvlJc w:val="start"/>
      <w:pPr>
        <w:tabs>
          <w:tab w:val="num" w:pos="0"/>
        </w:tabs>
        <w:ind w:start="2520" w:hanging="360"/>
      </w:pPr>
    </w:lvl>
    <w:lvl w:ilvl="7">
      <w:start w:val="1"/>
      <w:numFmt w:val="lowerLetter"/>
      <w:lvlText w:val="%8."/>
      <w:lvlJc w:val="start"/>
      <w:pPr>
        <w:tabs>
          <w:tab w:val="num" w:pos="0"/>
        </w:tabs>
        <w:ind w:start="2880" w:hanging="360"/>
      </w:pPr>
    </w:lvl>
    <w:lvl w:ilvl="8">
      <w:start w:val="1"/>
      <w:numFmt w:val="lowerRoman"/>
      <w:lvlText w:val="%9."/>
      <w:lvlJc w:val="start"/>
      <w:pPr>
        <w:tabs>
          <w:tab w:val="num" w:pos="0"/>
        </w:tabs>
        <w:ind w:start="3240" w:hanging="360"/>
      </w:pPr>
    </w:lvl>
  </w:abstractNum>
  <w:abstractNum w:abstractNumId="2">
    <w:lvl w:ilvl="0">
      <w:start w:val="1"/>
      <w:numFmt w:val="decimal"/>
      <w:lvlText w:val="%1."/>
      <w:lvlJc w:val="start"/>
      <w:pPr>
        <w:tabs>
          <w:tab w:val="num" w:pos="1209"/>
        </w:tabs>
        <w:ind w:start="1209" w:hanging="360"/>
      </w:pPr>
    </w:lvl>
  </w:abstractNum>
  <w:abstractNum w:abstractNumId="3">
    <w:lvl w:ilvl="0">
      <w:start w:val="1"/>
      <w:numFmt w:val="decimal"/>
      <w:lvlText w:val="%1."/>
      <w:lvlJc w:val="start"/>
      <w:pPr>
        <w:tabs>
          <w:tab w:val="num" w:pos="926"/>
        </w:tabs>
        <w:ind w:start="926" w:hanging="360"/>
      </w:pPr>
    </w:lvl>
  </w:abstractNum>
  <w:abstractNum w:abstractNumId="4">
    <w:lvl w:ilvl="0">
      <w:start w:val="1"/>
      <w:numFmt w:val="decimal"/>
      <w:lvlText w:val="%1."/>
      <w:lvlJc w:val="start"/>
      <w:pPr>
        <w:tabs>
          <w:tab w:val="num" w:pos="643"/>
        </w:tabs>
        <w:ind w:start="643" w:hanging="360"/>
      </w:pPr>
    </w:lvl>
  </w:abstractNum>
  <w:abstractNum w:abstractNumId="5">
    <w:lvl w:ilvl="0">
      <w:start w:val="1"/>
      <w:numFmt w:val="bullet"/>
      <w:lvlText w:val=""/>
      <w:lvlJc w:val="start"/>
      <w:pPr>
        <w:tabs>
          <w:tab w:val="num" w:pos="1209"/>
        </w:tabs>
        <w:ind w:start="1209" w:hanging="360"/>
      </w:pPr>
      <w:rPr>
        <w:rFonts w:ascii="Symbol" w:hAnsi="Symbol" w:cs="Symbol" w:hint="default"/>
      </w:rPr>
    </w:lvl>
  </w:abstractNum>
  <w:abstractNum w:abstractNumId="6">
    <w:lvl w:ilvl="0">
      <w:start w:val="1"/>
      <w:numFmt w:val="bullet"/>
      <w:lvlText w:val=""/>
      <w:lvlJc w:val="start"/>
      <w:pPr>
        <w:tabs>
          <w:tab w:val="num" w:pos="926"/>
        </w:tabs>
        <w:ind w:start="926" w:hanging="360"/>
      </w:pPr>
      <w:rPr>
        <w:rFonts w:ascii="Symbol" w:hAnsi="Symbol" w:cs="Symbol" w:hint="default"/>
      </w:rPr>
    </w:lvl>
  </w:abstractNum>
  <w:abstractNum w:abstractNumId="7">
    <w:lvl w:ilvl="0">
      <w:start w:val="1"/>
      <w:numFmt w:val="bullet"/>
      <w:lvlText w:val=""/>
      <w:lvlJc w:val="start"/>
      <w:pPr>
        <w:tabs>
          <w:tab w:val="num" w:pos="643"/>
        </w:tabs>
        <w:ind w:start="643" w:hanging="360"/>
      </w:pPr>
      <w:rPr>
        <w:rFonts w:ascii="Symbol" w:hAnsi="Symbol" w:cs="Symbol" w:hint="default"/>
      </w:rPr>
    </w:lvl>
  </w:abstractNum>
  <w:abstractNum w:abstractNumId="8">
    <w:lvl w:ilvl="0">
      <w:start w:val="1"/>
      <w:numFmt w:val="decimal"/>
      <w:lvlText w:val="%1."/>
      <w:lvlJc w:val="start"/>
      <w:pPr>
        <w:tabs>
          <w:tab w:val="num" w:pos="360"/>
        </w:tabs>
        <w:ind w:start="360" w:hanging="360"/>
      </w:pPr>
    </w:lvl>
  </w:abstractNum>
  <w:abstractNum w:abstractNumId="9">
    <w:lvl w:ilvl="0">
      <w:start w:val="1"/>
      <w:numFmt w:val="bullet"/>
      <w:lvlText w:val=""/>
      <w:lvlJc w:val="start"/>
      <w:pPr>
        <w:tabs>
          <w:tab w:val="num" w:pos="360"/>
        </w:tabs>
        <w:ind w:start="360" w:hanging="360"/>
      </w:pPr>
      <w:rPr>
        <w:rFonts w:ascii="Symbol" w:hAnsi="Symbol" w:cs="Symbol" w:hint="default"/>
      </w:rPr>
    </w:lvl>
  </w:abstractNum>
  <w:abstractNum w:abstractNumId="10">
    <w:lvl w:ilvl="0">
      <w:start w:val="1"/>
      <w:numFmt w:val="decimal"/>
      <w:lvlText w:val="(%1)"/>
      <w:lvlJc w:val="start"/>
      <w:pPr>
        <w:tabs>
          <w:tab w:val="num" w:pos="850"/>
        </w:tabs>
        <w:ind w:start="850" w:hanging="850"/>
      </w:pPr>
    </w:lvl>
    <w:lvl w:ilvl="1">
      <w:start w:val="1"/>
      <w:numFmt w:val="lowerLetter"/>
      <w:lvlText w:val="(%2)"/>
      <w:lvlJc w:val="start"/>
      <w:pPr>
        <w:tabs>
          <w:tab w:val="num" w:pos="850"/>
        </w:tabs>
        <w:ind w:start="850" w:hanging="850"/>
      </w:pPr>
    </w:lvl>
    <w:lvl w:ilvl="2">
      <w:start w:val="1"/>
      <w:numFmt w:val="decimal"/>
      <w:lvlText w:val="(%3)"/>
      <w:lvlJc w:val="start"/>
      <w:pPr>
        <w:tabs>
          <w:tab w:val="num" w:pos="1417"/>
        </w:tabs>
        <w:ind w:start="1417" w:hanging="567"/>
      </w:pPr>
    </w:lvl>
    <w:lvl w:ilvl="3">
      <w:start w:val="1"/>
      <w:numFmt w:val="lowerRoman"/>
      <w:lvlText w:val="(%4)"/>
      <w:lvlJc w:val="start"/>
      <w:pPr>
        <w:tabs>
          <w:tab w:val="num" w:pos="1417"/>
        </w:tabs>
        <w:ind w:start="1417" w:hanging="567"/>
      </w:pPr>
      <w:rPr/>
    </w:lvl>
    <w:lvl w:ilvl="4">
      <w:start w:val="1"/>
      <w:numFmt w:val="decimal"/>
      <w:lvlText w:val="(%5)"/>
      <w:lvlJc w:val="start"/>
      <w:pPr>
        <w:tabs>
          <w:tab w:val="num" w:pos="1984"/>
        </w:tabs>
        <w:ind w:start="1984" w:hanging="567"/>
      </w:pPr>
    </w:lvl>
    <w:lvl w:ilvl="5">
      <w:start w:val="1"/>
      <w:numFmt w:val="lowerLetter"/>
      <w:lvlText w:val="(%6)"/>
      <w:lvlJc w:val="start"/>
      <w:pPr>
        <w:tabs>
          <w:tab w:val="num" w:pos="1984"/>
        </w:tabs>
        <w:ind w:start="1984" w:hanging="567"/>
      </w:pPr>
    </w:lvl>
    <w:lvl w:ilvl="6">
      <w:start w:val="1"/>
      <w:numFmt w:val="decimal"/>
      <w:lvlText w:val="(%7)"/>
      <w:lvlJc w:val="start"/>
      <w:pPr>
        <w:tabs>
          <w:tab w:val="num" w:pos="2551"/>
        </w:tabs>
        <w:ind w:start="2551" w:hanging="567"/>
      </w:pPr>
    </w:lvl>
    <w:lvl w:ilvl="7">
      <w:start w:val="1"/>
      <w:numFmt w:val="lowerLetter"/>
      <w:lvlText w:val="(%8)"/>
      <w:lvlJc w:val="start"/>
      <w:pPr>
        <w:tabs>
          <w:tab w:val="num" w:pos="2551"/>
        </w:tabs>
        <w:ind w:start="2551" w:hanging="567"/>
      </w:pPr>
    </w:lvl>
    <w:lvl w:ilvl="8">
      <w:start w:val="1"/>
      <w:numFmt w:val="lowerLetter"/>
      <w:lvlText w:val="(%9)"/>
      <w:lvlJc w:val="start"/>
      <w:pPr>
        <w:tabs>
          <w:tab w:val="num" w:pos="3118"/>
        </w:tabs>
        <w:ind w:start="3118" w:hanging="567"/>
      </w:pPr>
    </w:lvl>
  </w:abstractNum>
  <w:abstractNum w:abstractNumId="11">
    <w:lvl w:ilvl="0">
      <w:start w:val="1"/>
      <w:numFmt w:val="decimal"/>
      <w:lvlText w:val="%1."/>
      <w:lvlJc w:val="start"/>
      <w:pPr>
        <w:tabs>
          <w:tab w:val="num" w:pos="850"/>
        </w:tabs>
        <w:ind w:start="850" w:hanging="850"/>
      </w:pPr>
    </w:lvl>
    <w:lvl w:ilvl="1">
      <w:start w:val="1"/>
      <w:numFmt w:val="decimal"/>
      <w:lvlText w:val="%1.%2."/>
      <w:lvlJc w:val="start"/>
      <w:pPr>
        <w:tabs>
          <w:tab w:val="num" w:pos="850"/>
        </w:tabs>
        <w:ind w:start="850" w:hanging="850"/>
      </w:pPr>
    </w:lvl>
    <w:lvl w:ilvl="2">
      <w:start w:val="1"/>
      <w:numFmt w:val="decimal"/>
      <w:lvlText w:val="%1.%2.%3."/>
      <w:lvlJc w:val="start"/>
      <w:pPr>
        <w:tabs>
          <w:tab w:val="num" w:pos="850"/>
        </w:tabs>
        <w:ind w:start="850" w:hanging="850"/>
      </w:pPr>
    </w:lvl>
    <w:lvl w:ilvl="3">
      <w:start w:val="1"/>
      <w:numFmt w:val="decimal"/>
      <w:lvlText w:val="%1.%2.%3.%4."/>
      <w:lvlJc w:val="start"/>
      <w:pPr>
        <w:tabs>
          <w:tab w:val="num" w:pos="850"/>
        </w:tabs>
        <w:ind w:start="850" w:hanging="850"/>
      </w:pPr>
    </w:lvl>
    <w:lvl w:ilvl="4">
      <w:start w:val="1"/>
      <w:numFmt w:val="lowerLetter"/>
      <w:lvlText w:val="(%5)"/>
      <w:lvlJc w:val="start"/>
      <w:pPr>
        <w:tabs>
          <w:tab w:val="num" w:pos="0"/>
        </w:tabs>
        <w:ind w:start="1800" w:hanging="360"/>
      </w:pPr>
    </w:lvl>
    <w:lvl w:ilvl="5">
      <w:start w:val="1"/>
      <w:numFmt w:val="lowerRoman"/>
      <w:lvlText w:val="(%6)"/>
      <w:lvlJc w:val="start"/>
      <w:pPr>
        <w:tabs>
          <w:tab w:val="num" w:pos="0"/>
        </w:tabs>
        <w:ind w:start="2160" w:hanging="360"/>
      </w:pPr>
    </w:lvl>
    <w:lvl w:ilvl="6">
      <w:start w:val="1"/>
      <w:numFmt w:val="decimal"/>
      <w:lvlText w:val="%7."/>
      <w:lvlJc w:val="start"/>
      <w:pPr>
        <w:tabs>
          <w:tab w:val="num" w:pos="0"/>
        </w:tabs>
        <w:ind w:start="2520" w:hanging="360"/>
      </w:pPr>
    </w:lvl>
    <w:lvl w:ilvl="7">
      <w:start w:val="1"/>
      <w:numFmt w:val="lowerLetter"/>
      <w:lvlText w:val="%8."/>
      <w:lvlJc w:val="start"/>
      <w:pPr>
        <w:tabs>
          <w:tab w:val="num" w:pos="0"/>
        </w:tabs>
        <w:ind w:start="2880" w:hanging="360"/>
      </w:pPr>
    </w:lvl>
    <w:lvl w:ilvl="8">
      <w:start w:val="1"/>
      <w:numFmt w:val="lowerRoman"/>
      <w:lvlText w:val="%9."/>
      <w:lvlJc w:val="start"/>
      <w:pPr>
        <w:tabs>
          <w:tab w:val="num" w:pos="0"/>
        </w:tabs>
        <w:ind w:start="3240" w:hanging="360"/>
      </w:pPr>
    </w:lvl>
  </w:abstractNum>
  <w:abstractNum w:abstractNumId="12">
    <w:lvl w:ilvl="0">
      <w:start w:val="1"/>
      <w:numFmt w:val="bullet"/>
      <w:lvlText w:val=""/>
      <w:lvlJc w:val="start"/>
      <w:pPr>
        <w:tabs>
          <w:tab w:val="num" w:pos="2551"/>
        </w:tabs>
        <w:ind w:start="2551" w:hanging="567"/>
      </w:pPr>
      <w:rPr>
        <w:rFonts w:ascii="Symbol" w:hAnsi="Symbol" w:cs="Symbol" w:hint="default"/>
      </w:rPr>
    </w:lvl>
  </w:abstractNum>
  <w:abstractNum w:abstractNumId="13">
    <w:lvl w:ilvl="0">
      <w:start w:val="1"/>
      <w:numFmt w:val="bullet"/>
      <w:lvlText w:val=""/>
      <w:lvlJc w:val="start"/>
      <w:pPr>
        <w:tabs>
          <w:tab w:val="num" w:pos="2551"/>
        </w:tabs>
        <w:ind w:start="2551" w:hanging="567"/>
      </w:pPr>
      <w:rPr>
        <w:rFonts w:ascii="Symbol" w:hAnsi="Symbol" w:cs="Symbol" w:hint="default"/>
      </w:rPr>
    </w:lvl>
  </w:abstractNum>
  <w:abstractNum w:abstractNumId="14">
    <w:lvl w:ilvl="0">
      <w:start w:val="1"/>
      <w:numFmt w:val="bullet"/>
      <w:lvlText w:val=""/>
      <w:lvlJc w:val="start"/>
      <w:pPr>
        <w:tabs>
          <w:tab w:val="num" w:pos="1417"/>
        </w:tabs>
        <w:ind w:start="1417" w:hanging="567"/>
      </w:pPr>
      <w:rPr>
        <w:rFonts w:ascii="Symbol" w:hAnsi="Symbol" w:cs="Symbol" w:hint="default"/>
      </w:rPr>
    </w:lvl>
  </w:abstractNum>
  <w:abstractNum w:abstractNumId="15">
    <w:lvl w:ilvl="0">
      <w:start w:val="1"/>
      <w:numFmt w:val="bullet"/>
      <w:lvlText w:val=""/>
      <w:lvlJc w:val="start"/>
      <w:pPr>
        <w:tabs>
          <w:tab w:val="num" w:pos="3118"/>
        </w:tabs>
        <w:ind w:start="3118" w:hanging="567"/>
      </w:pPr>
      <w:rPr>
        <w:rFonts w:ascii="Symbol" w:hAnsi="Symbol" w:cs="Symbol" w:hint="default"/>
      </w:rPr>
    </w:lvl>
  </w:abstractNum>
  <w:abstractNum w:abstractNumId="16">
    <w:lvl w:ilvl="0">
      <w:start w:val="1"/>
      <w:numFmt w:val="bullet"/>
      <w:lvlText w:val=""/>
      <w:lvlJc w:val="start"/>
      <w:pPr>
        <w:tabs>
          <w:tab w:val="num" w:pos="850"/>
        </w:tabs>
        <w:ind w:start="850" w:hanging="850"/>
      </w:pPr>
      <w:rPr>
        <w:rFonts w:ascii="Symbol" w:hAnsi="Symbol" w:cs="Symbol" w:hint="default"/>
      </w:rPr>
    </w:lvl>
  </w:abstractNum>
  <w:abstractNum w:abstractNumId="17">
    <w:lvl w:ilvl="0">
      <w:start w:val="1"/>
      <w:numFmt w:val="bullet"/>
      <w:lvlText w:val=""/>
      <w:lvlJc w:val="start"/>
      <w:pPr>
        <w:tabs>
          <w:tab w:val="num" w:pos="3118"/>
        </w:tabs>
        <w:ind w:start="3118" w:hanging="567"/>
      </w:pPr>
      <w:rPr>
        <w:rFonts w:ascii="Symbol" w:hAnsi="Symbol" w:cs="Symbol" w:hint="default"/>
      </w:rPr>
    </w:lvl>
  </w:abstractNum>
  <w:abstractNum w:abstractNumId="18">
    <w:lvl w:ilvl="0">
      <w:start w:val="1"/>
      <w:numFmt w:val="bullet"/>
      <w:lvlText w:val=""/>
      <w:lvlJc w:val="start"/>
      <w:pPr>
        <w:tabs>
          <w:tab w:val="num" w:pos="1417"/>
        </w:tabs>
        <w:ind w:start="1417" w:hanging="567"/>
      </w:pPr>
      <w:rPr>
        <w:rFonts w:ascii="Symbol" w:hAnsi="Symbol" w:cs="Symbol" w:hint="default"/>
      </w:rPr>
    </w:lvl>
  </w:abstractNum>
  <w:abstractNum w:abstractNumId="19">
    <w:lvl w:ilvl="0">
      <w:start w:val="1"/>
      <w:numFmt w:val="bullet"/>
      <w:lvlText w:val=""/>
      <w:lvlJc w:val="start"/>
      <w:pPr>
        <w:tabs>
          <w:tab w:val="num" w:pos="1984"/>
        </w:tabs>
        <w:ind w:start="1984" w:hanging="567"/>
      </w:pPr>
      <w:rPr>
        <w:rFonts w:ascii="Symbol" w:hAnsi="Symbol" w:cs="Symbol" w:hint="default"/>
      </w:rPr>
    </w:lvl>
  </w:abstractNum>
  <w:abstractNum w:abstractNumId="20">
    <w:lvl w:ilvl="0">
      <w:start w:val="1"/>
      <w:numFmt w:val="bullet"/>
      <w:lvlText w:val=""/>
      <w:lvlJc w:val="start"/>
      <w:pPr>
        <w:tabs>
          <w:tab w:val="num" w:pos="850"/>
        </w:tabs>
        <w:ind w:start="850" w:hanging="850"/>
      </w:pPr>
      <w:rPr>
        <w:rFonts w:ascii="Symbol" w:hAnsi="Symbol" w:cs="Symbol" w:hint="default"/>
      </w:rPr>
    </w:lvl>
  </w:abstractNum>
  <w:abstractNum w:abstractNumId="21">
    <w:lvl w:ilvl="0">
      <w:start w:val="1"/>
      <w:numFmt w:val="bullet"/>
      <w:lvlText w:val=""/>
      <w:lvlJc w:val="start"/>
      <w:pPr>
        <w:tabs>
          <w:tab w:val="num" w:pos="1984"/>
        </w:tabs>
        <w:ind w:start="1984" w:hanging="567"/>
      </w:pPr>
      <w:rPr>
        <w:rFonts w:ascii="Symbol" w:hAnsi="Symbol" w:cs="Symbol" w:hint="default"/>
      </w:rPr>
    </w:lvl>
  </w:abstractNum>
  <w:abstractNum w:abstractNumId="22">
    <w:lvl w:ilvl="0">
      <w:start w:val="1"/>
      <w:numFmt w:val="decimal"/>
      <w:lvlText w:val="(%1)"/>
      <w:lvlJc w:val="start"/>
      <w:pPr>
        <w:tabs>
          <w:tab w:val="num" w:pos="709"/>
        </w:tabs>
        <w:ind w:start="709" w:hanging="709"/>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10"/>
    <w:lvlOverride w:ilvl="0">
      <w:startOverride w:val="1"/>
    </w:lvlOverride>
    <w:lvlOverride w:ilvl="1">
      <w:startOverride w:val="1"/>
    </w:lvlOverride>
  </w:num>
  <w:num w:numId="24">
    <w:abstractNumId w:val="10"/>
    <w:lvlOverride w:ilvl="0">
      <w:startOverride w:val="1"/>
    </w:lvlOverride>
    <w:lvlOverride w:ilvl="1">
      <w:startOverride w:val="1"/>
    </w:lvlOverride>
  </w:num>
  <w:num w:numId="25">
    <w:abstractNumId w:val="10"/>
    <w:lvlOverride w:ilvl="0">
      <w:startOverride w:val="1"/>
    </w:lvlOverride>
    <w:lvlOverride w:ilvl="1">
      <w:startOverride w:val="1"/>
    </w:lvlOverride>
  </w:num>
  <w:num w:numId="26">
    <w:abstractNumId w:val="10"/>
    <w:lvlOverride w:ilvl="0">
      <w:startOverride w:val="1"/>
    </w:lvlOverride>
    <w:lvlOverride w:ilvl="1">
      <w:startOverride w:val="1"/>
    </w:lvlOverride>
  </w:num>
  <w:num w:numId="27">
    <w:abstractNumId w:val="10"/>
    <w:lvlOverride w:ilvl="0">
      <w:startOverride w:val="1"/>
    </w:lvlOverride>
    <w:lvlOverride w:ilvl="1">
      <w:startOverride w:val="1"/>
    </w:lvlOverride>
  </w:num>
  <w:num w:numId="28">
    <w:abstractNumId w:val="10"/>
    <w:lvlOverride w:ilvl="0">
      <w:startOverride w:val="1"/>
    </w:lvlOverride>
    <w:lvlOverride w:ilvl="1">
      <w:startOverride w:val="1"/>
    </w:lvlOverride>
  </w:num>
  <w:num w:numId="29">
    <w:abstractNumId w:val="10"/>
    <w:lvlOverride w:ilvl="0">
      <w:startOverride w:val="1"/>
    </w:lvlOverride>
    <w:lvlOverride w:ilvl="1">
      <w:startOverride w:val="1"/>
    </w:lvlOverride>
  </w:num>
  <w:num w:numId="30">
    <w:abstractNumId w:val="10"/>
    <w:lvlOverride w:ilvl="0">
      <w:startOverride w:val="1"/>
    </w:lvlOverride>
    <w:lvlOverride w:ilvl="1">
      <w:startOverride w:val="1"/>
    </w:lvlOverride>
  </w:num>
  <w:num w:numId="31">
    <w:abstractNumId w:val="10"/>
    <w:lvlOverride w:ilvl="0">
      <w:startOverride w:val="1"/>
    </w:lvlOverride>
    <w:lvlOverride w:ilvl="1">
      <w:startOverride w:val="1"/>
    </w:lvlOverride>
  </w:num>
  <w:num w:numId="32">
    <w:abstractNumId w:val="10"/>
    <w:lvlOverride w:ilvl="0">
      <w:startOverride w:val="1"/>
    </w:lvlOverride>
    <w:lvlOverride w:ilvl="1">
      <w:startOverride w:val="1"/>
    </w:lvlOverride>
  </w:num>
  <w:num w:numId="33">
    <w:abstractNumId w:val="10"/>
    <w:lvlOverride w:ilvl="0">
      <w:startOverride w:val="1"/>
    </w:lvlOverride>
    <w:lvlOverride w:ilvl="1">
      <w:startOverride w:val="1"/>
    </w:lvlOverride>
  </w:num>
  <w:num w:numId="34">
    <w:abstractNumId w:val="10"/>
    <w:lvlOverride w:ilvl="0">
      <w:startOverride w:val="1"/>
    </w:lvlOverride>
    <w:lvlOverride w:ilvl="1">
      <w:startOverride w:val="1"/>
    </w:lvlOverride>
  </w:num>
  <w:num w:numId="35">
    <w:abstractNumId w:val="10"/>
    <w:lvlOverride w:ilvl="0">
      <w:startOverride w:val="1"/>
    </w:lvlOverride>
    <w:lvlOverride w:ilvl="1">
      <w:startOverride w:val="1"/>
    </w:lvlOverride>
  </w:num>
  <w:num w:numId="36">
    <w:abstractNumId w:val="10"/>
    <w:lvlOverride w:ilvl="0">
      <w:startOverride w:val="1"/>
    </w:lvlOverride>
    <w:lvlOverride w:ilvl="1">
      <w:startOverride w:val="1"/>
    </w:lvlOverride>
  </w:num>
  <w:num w:numId="37">
    <w:abstractNumId w:val="10"/>
    <w:lvlOverride w:ilvl="0">
      <w:startOverride w:val="1"/>
    </w:lvlOverride>
    <w:lvlOverride w:ilvl="1">
      <w:startOverride w:val="1"/>
    </w:lvlOverride>
  </w:num>
  <w:num w:numId="38">
    <w:abstractNumId w:val="10"/>
    <w:lvlOverride w:ilvl="0">
      <w:startOverride w:val="1"/>
    </w:lvlOverride>
    <w:lvlOverride w:ilvl="1">
      <w:startOverride w:val="1"/>
    </w:lvlOverride>
  </w:num>
  <w:num w:numId="39">
    <w:abstractNumId w:val="10"/>
    <w:lvlOverride w:ilvl="0">
      <w:startOverride w:val="1"/>
    </w:lvlOverride>
    <w:lvlOverride w:ilvl="1">
      <w:startOverride w:val="1"/>
    </w:lvlOverride>
  </w:num>
  <w:num w:numId="40">
    <w:abstractNumId w:val="10"/>
    <w:lvlOverride w:ilvl="0">
      <w:startOverride w:val="1"/>
    </w:lvlOverride>
    <w:lvlOverride w:ilvl="1">
      <w:startOverride w:val="1"/>
    </w:lvlOverride>
  </w:num>
  <w:num w:numId="41">
    <w:abstractNumId w:val="10"/>
    <w:lvlOverride w:ilvl="0">
      <w:startOverride w:val="1"/>
    </w:lvlOverride>
    <w:lvlOverride w:ilvl="1">
      <w:startOverride w:val="1"/>
    </w:lvlOverride>
  </w:num>
  <w:num w:numId="42">
    <w:abstractNumId w:val="10"/>
    <w:lvlOverride w:ilvl="0">
      <w:startOverride w:val="1"/>
    </w:lvlOverride>
    <w:lvlOverride w:ilvl="1">
      <w:startOverride w:val="1"/>
    </w:lvlOverride>
  </w:num>
  <w:num w:numId="43">
    <w:abstractNumId w:val="10"/>
    <w:lvlOverride w:ilvl="0">
      <w:startOverride w:val="1"/>
    </w:lvlOverride>
    <w:lvlOverride w:ilvl="1">
      <w:startOverride w:val="1"/>
    </w:lvlOverride>
  </w:num>
  <w:num w:numId="44">
    <w:abstractNumId w:val="10"/>
    <w:lvlOverride w:ilvl="0">
      <w:startOverride w:val="1"/>
    </w:lvlOverride>
    <w:lvlOverride w:ilvl="1">
      <w:startOverride w:val="1"/>
    </w:lvlOverride>
  </w:num>
  <w:num w:numId="45">
    <w:abstractNumId w:val="10"/>
    <w:lvlOverride w:ilvl="0">
      <w:startOverride w:val="1"/>
    </w:lvlOverride>
    <w:lvlOverride w:ilvl="1">
      <w:startOverride w:val="1"/>
    </w:lvlOverride>
  </w:num>
  <w:num w:numId="46">
    <w:abstractNumId w:val="10"/>
    <w:lvlOverride w:ilvl="0">
      <w:startOverride w:val="1"/>
    </w:lvlOverride>
    <w:lvlOverride w:ilvl="1">
      <w:startOverride w:val="1"/>
    </w:lvlOverride>
  </w:num>
  <w:num w:numId="47">
    <w:abstractNumId w:val="10"/>
    <w:lvlOverride w:ilvl="0">
      <w:startOverride w:val="1"/>
    </w:lvlOverride>
    <w:lvlOverride w:ilvl="1">
      <w:startOverride w:val="1"/>
    </w:lvlOverride>
  </w:num>
  <w:num w:numId="48">
    <w:abstractNumId w:val="10"/>
    <w:lvlOverride w:ilvl="0">
      <w:startOverride w:val="1"/>
    </w:lvlOverride>
    <w:lvlOverride w:ilvl="1">
      <w:startOverride w:val="1"/>
    </w:lvlOverride>
  </w:num>
  <w:num w:numId="49">
    <w:abstractNumId w:val="10"/>
    <w:lvlOverride w:ilvl="0">
      <w:startOverride w:val="1"/>
    </w:lvlOverride>
    <w:lvlOverride w:ilvl="1">
      <w:startOverride w:val="1"/>
    </w:lvlOverride>
  </w:num>
  <w:num w:numId="50">
    <w:abstractNumId w:val="10"/>
    <w:lvlOverride w:ilvl="0">
      <w:startOverride w:val="1"/>
    </w:lvlOverride>
    <w:lvlOverride w:ilvl="1">
      <w:startOverride w:val="1"/>
    </w:lvlOverride>
  </w:num>
  <w:num w:numId="51">
    <w:abstractNumId w:val="10"/>
    <w:lvlOverride w:ilvl="0">
      <w:startOverride w:val="1"/>
    </w:lvlOverride>
    <w:lvlOverride w:ilvl="1">
      <w:startOverride w:val="1"/>
    </w:lvlOverride>
  </w:num>
  <w:num w:numId="52">
    <w:abstractNumId w:val="10"/>
    <w:lvlOverride w:ilvl="0">
      <w:startOverride w:val="1"/>
    </w:lvlOverride>
    <w:lvlOverride w:ilvl="1">
      <w:startOverride w:val="1"/>
    </w:lvlOverride>
  </w:num>
</w:numbering>
</file>

<file path=word/settings.xml><?xml version="1.0" encoding="utf-8"?>
<w:settings xmlns:w="http://schemas.openxmlformats.org/wordprocessingml/2006/main">
  <w:zoom w:percent="80"/>
  <w:defaultTabStop w:val="720"/>
  <w:autoHyphenation w:val="true"/>
  <w:footnotePr>
    <w:numFmt w:val="decimal"/>
    <w:footnote w:id="0"/>
    <w:footnote w:id="1"/>
  </w:footnotePr>
  <w:compat>
    <w:compatSetting w:name="compatibilityMode" w:uri="http://schemas.microsoft.com/office/word" w:val="11"/>
  </w:compat>
  <w:docVars>
    <w:docVar w:name="DocStatus" w:val="Green"/>
    <w:docVar w:name="LW_ACCOMPAGNANT.CP" w:val="to the "/>
    <w:docVar w:name="LW_ANNEX_NBR_FIRST" w:val="1"/>
    <w:docVar w:name="LW_ANNEX_NBR_LAST" w:val="1"/>
    <w:docVar w:name="LW_ANNEX_UNIQUE" w:val="1"/>
    <w:docVar w:name="LW_CORRIGENDUM" w:val="&lt;UNUSED&gt;"/>
    <w:docVar w:name="LW_COVERPAGE_EXISTS" w:val="True"/>
    <w:docVar w:name="LW_COVERPAGE_GUID" w:val="7E9A26CC-8B29-482E-9CDA-53FB89B40E12"/>
    <w:docVar w:name="LW_COVERPAGE_TYPE" w:val="1"/>
    <w:docVar w:name="LW_CROSSREFERENCE" w:val="&lt;UNUSED&gt;"/>
    <w:docVar w:name="LW_DocType" w:val="NORMAL"/>
    <w:docVar w:name="LW_EMISSION" w:val="4.6.2021"/>
    <w:docVar w:name="LW_EMISSION_ISODATE" w:val="2021-06-04"/>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on standard contractual clauses for the transfer of personal data to third countries pursuant to Regulation (EU) 2016/679 of the European Parliament and of the Council"/>
    <w:docVar w:name="LW_PART_NBR" w:val="1"/>
    <w:docVar w:name="LW_PART_NBR_TOTAL" w:val="1"/>
    <w:docVar w:name="LW_REF.INST.NEW" w:val="C"/>
    <w:docVar w:name="LW_REF.INST.NEW_ADOPTED" w:val="final"/>
    <w:docVar w:name="LW_REF.INST.NEW_TEXT" w:val="(2021) 3972"/>
    <w:docVar w:name="LW_REF.INTERNE" w:val="&lt;UNUSED&gt;"/>
    <w:docVar w:name="LW_SENSITIVITY" w:val="&lt;?xml version=&quot;1.0&quot; encoding=&quot;utf-8&quot;?&gt;&#10;&lt;SensitivityLevel xmlns:xsi=&quot;http://www.w3.org/2001/XMLSchema-instance&quot; xmlns:xsd=&quot;http://www.w3.org/2001/XMLSchema&quot; id=&quot;standard&quot;&gt;&#10;  &lt;nicename EN=&quot;Standard treatment&quot; FR=&quot;Traitement standard&quot; /&gt;&#10;  &lt;documentProperty&gt;Standard treatment&lt;/documentProperty&gt;&#10;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10;  &lt;chosenMainMarking xsi:nil=&quot;true&quot; /&gt;&#10;  &lt;dateMarking xsi:nil=&quot;true&quot; /&gt;&#10;  &lt;releasableToConfig isAvailable=&quot;false&quot; institutionListSee=&quot;DefaultInstitutions&quot; /&gt;&#10;  &lt;chosenReleasableTo xsi:nil=&quot;true&quot; /&gt;&#10;  &lt;detached xsi:nil=&quot;true&quot; /&gt;&#10;  &lt;declassify xsi:nil=&quot;true&quot; /&gt;&#10;  &lt;headerTexts xsi:nil=&quot;true&quot; /&gt;&#10;  &lt;footerTexts xsi:nil=&quot;true&quot; /&gt;&#10;  &lt;isRestricted&gt;false&lt;/isRestricted&gt;&#10;&lt;/SensitivityLevel&gt;"/>
    <w:docVar w:name="LW_SUPERTITRE" w:val="&lt;UNUSED&gt;"/>
    <w:docVar w:name="LW_TYPE.DOC.CP" w:val="ANNEX_x000b_"/>
    <w:docVar w:name="LW_TYPEACTEPRINCIPAL.CP" w:val="COMMISSION IMPLEMENTING DECISION"/>
    <w:docVar w:name="LwApiVersions" w:val="LW4CoDe 1.23.0.0; LW 8.0, Build 20210114"/>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GB" w:bidi="ar-SA" w:eastAsia="zh-CN"/>
    </w:rPr>
  </w:style>
  <w:style w:type="paragraph" w:styleId="Heading1">
    <w:name w:val="Heading 1"/>
    <w:basedOn w:val="Normal"/>
    <w:next w:val="Text1"/>
    <w:qFormat/>
    <w:pPr>
      <w:keepNext w:val="true"/>
      <w:numPr>
        <w:ilvl w:val="0"/>
        <w:numId w:val="1"/>
      </w:numPr>
      <w:spacing w:lineRule="auto" w:line="240" w:before="360" w:after="120"/>
      <w:jc w:val="both"/>
      <w:outlineLvl w:val="0"/>
    </w:pPr>
    <w:rPr>
      <w:rFonts w:ascii="Times New Roman" w:hAnsi="Times New Roman" w:eastAsia="Times New Roman" w:cs="Times New Roman"/>
      <w:b/>
      <w:bCs/>
      <w:smallCaps/>
      <w:sz w:val="24"/>
      <w:szCs w:val="28"/>
    </w:rPr>
  </w:style>
  <w:style w:type="paragraph" w:styleId="Heading2">
    <w:name w:val="Heading 2"/>
    <w:basedOn w:val="Normal"/>
    <w:next w:val="Text1"/>
    <w:qFormat/>
    <w:pPr>
      <w:keepNext w:val="true"/>
      <w:numPr>
        <w:ilvl w:val="1"/>
        <w:numId w:val="1"/>
      </w:numPr>
      <w:spacing w:lineRule="auto" w:line="240" w:before="120" w:after="120"/>
      <w:jc w:val="both"/>
      <w:outlineLvl w:val="1"/>
    </w:pPr>
    <w:rPr>
      <w:rFonts w:ascii="Times New Roman" w:hAnsi="Times New Roman" w:eastAsia="Times New Roman" w:cs="Times New Roman"/>
      <w:b/>
      <w:bCs/>
      <w:sz w:val="24"/>
      <w:szCs w:val="26"/>
    </w:rPr>
  </w:style>
  <w:style w:type="paragraph" w:styleId="Heading3">
    <w:name w:val="Heading 3"/>
    <w:basedOn w:val="Normal"/>
    <w:next w:val="Text1"/>
    <w:qFormat/>
    <w:pPr>
      <w:keepNext w:val="true"/>
      <w:numPr>
        <w:ilvl w:val="2"/>
        <w:numId w:val="1"/>
      </w:numPr>
      <w:spacing w:lineRule="auto" w:line="240" w:before="120" w:after="120"/>
      <w:jc w:val="both"/>
      <w:outlineLvl w:val="2"/>
    </w:pPr>
    <w:rPr>
      <w:rFonts w:ascii="Times New Roman" w:hAnsi="Times New Roman" w:eastAsia="Times New Roman" w:cs="Times New Roman"/>
      <w:bCs/>
      <w:i/>
      <w:sz w:val="24"/>
    </w:rPr>
  </w:style>
  <w:style w:type="paragraph" w:styleId="Heading4">
    <w:name w:val="Heading 4"/>
    <w:basedOn w:val="Normal"/>
    <w:next w:val="Text1"/>
    <w:qFormat/>
    <w:pPr>
      <w:keepNext w:val="true"/>
      <w:numPr>
        <w:ilvl w:val="3"/>
        <w:numId w:val="1"/>
      </w:numPr>
      <w:spacing w:lineRule="auto" w:line="240" w:before="120" w:after="120"/>
      <w:jc w:val="both"/>
      <w:outlineLvl w:val="3"/>
    </w:pPr>
    <w:rPr>
      <w:rFonts w:ascii="Times New Roman" w:hAnsi="Times New Roman" w:eastAsia="Times New Roman" w:cs="Times New Roman"/>
      <w:bCs/>
      <w:iCs/>
      <w:sz w:val="24"/>
    </w:rPr>
  </w:style>
  <w:style w:type="character" w:styleId="WW8Num4z0">
    <w:name w:val="WW8Num4z0"/>
    <w:qFormat/>
    <w:rPr>
      <w:rFonts w:ascii="Symbol" w:hAnsi="Symbol" w:cs="Symbol"/>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8z0">
    <w:name w:val="WW8Num8z0"/>
    <w:qFormat/>
    <w:rPr>
      <w:rFonts w:ascii="Symbol" w:hAnsi="Symbol" w:cs="Symbol"/>
    </w:rPr>
  </w:style>
  <w:style w:type="character" w:styleId="WW8Num9z3">
    <w:name w:val="WW8Num9z3"/>
    <w:qFormat/>
    <w:rPr/>
  </w:style>
  <w:style w:type="character" w:styleId="WW8Num11z0">
    <w:name w:val="WW8Num11z0"/>
    <w:qFormat/>
    <w:rPr>
      <w:rFonts w:ascii="Symbol" w:hAnsi="Symbol" w:cs="Symbol"/>
    </w:rPr>
  </w:style>
  <w:style w:type="character" w:styleId="WW8Num15z0">
    <w:name w:val="WW8Num15z0"/>
    <w:qFormat/>
    <w:rPr>
      <w:rFonts w:ascii="Times New Roman" w:hAnsi="Times New Roman" w:eastAsia="Calibri"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Symbol" w:hAnsi="Symbol" w:cs="Symbol"/>
    </w:rPr>
  </w:style>
  <w:style w:type="character" w:styleId="WW8Num17z0">
    <w:name w:val="WW8Num17z0"/>
    <w:qFormat/>
    <w:rPr>
      <w:rFonts w:ascii="Times New Roman" w:hAnsi="Times New Roman" w:eastAsia="Calibri"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9z0">
    <w:name w:val="WW8Num19z0"/>
    <w:qFormat/>
    <w:rPr>
      <w:rFonts w:ascii="Symbol" w:hAnsi="Symbol" w:cs="Symbol"/>
    </w:rPr>
  </w:style>
  <w:style w:type="character" w:styleId="WW8Num20z0">
    <w:name w:val="WW8Num20z0"/>
    <w:qFormat/>
    <w:rPr>
      <w:rFonts w:ascii="Symbol" w:hAnsi="Symbol" w:cs="Symbol"/>
    </w:rPr>
  </w:style>
  <w:style w:type="character" w:styleId="DefaultParagraphFont">
    <w:name w:val="Default Paragraph Font"/>
    <w:qFormat/>
    <w:rPr/>
  </w:style>
  <w:style w:type="character" w:styleId="Marker">
    <w:name w:val="Marker"/>
    <w:qFormat/>
    <w:rPr>
      <w:color w:val="0000FF"/>
      <w:shd w:fill="auto"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erCoverPageChar">
    <w:name w:val="Footer Cover Page Char"/>
    <w:qFormat/>
    <w:rPr>
      <w:rFonts w:ascii="Times New Roman" w:hAnsi="Times New Roman" w:cs="Times New Roman"/>
      <w:sz w:val="24"/>
    </w:rPr>
  </w:style>
  <w:style w:type="character" w:styleId="FooterSensitivityChar">
    <w:name w:val="Footer Sensitivity Char"/>
    <w:qFormat/>
    <w:rPr>
      <w:rFonts w:ascii="Times New Roman" w:hAnsi="Times New Roman" w:cs="Times New Roman"/>
      <w:b/>
      <w:sz w:val="32"/>
    </w:rPr>
  </w:style>
  <w:style w:type="character" w:styleId="HeaderCoverPageChar">
    <w:name w:val="Header Cover Page Char"/>
    <w:qFormat/>
    <w:rPr>
      <w:rFonts w:ascii="Times New Roman" w:hAnsi="Times New Roman" w:cs="Times New Roman"/>
      <w:sz w:val="24"/>
    </w:rPr>
  </w:style>
  <w:style w:type="character" w:styleId="HeaderSensitivityChar">
    <w:name w:val="Header Sensitivity Char"/>
    <w:qFormat/>
    <w:rPr>
      <w:rFonts w:ascii="Times New Roman" w:hAnsi="Times New Roman" w:cs="Times New Roman"/>
      <w:b/>
      <w:sz w:val="32"/>
    </w:rPr>
  </w:style>
  <w:style w:type="character" w:styleId="HeaderSensitivityRightChar">
    <w:name w:val="Header Sensitivity Right Char"/>
    <w:qFormat/>
    <w:rPr>
      <w:rFonts w:ascii="Times New Roman" w:hAnsi="Times New Roman" w:cs="Times New Roman"/>
      <w:sz w:val="28"/>
    </w:rPr>
  </w:style>
  <w:style w:type="character" w:styleId="Heading1Char">
    <w:name w:val="Heading 1 Char"/>
    <w:qFormat/>
    <w:rPr>
      <w:rFonts w:ascii="Times New Roman" w:hAnsi="Times New Roman" w:eastAsia="Times New Roman" w:cs="Times New Roman"/>
      <w:b/>
      <w:bCs/>
      <w:smallCaps/>
      <w:sz w:val="24"/>
      <w:szCs w:val="28"/>
    </w:rPr>
  </w:style>
  <w:style w:type="character" w:styleId="Heading2Char">
    <w:name w:val="Heading 2 Char"/>
    <w:qFormat/>
    <w:rPr>
      <w:rFonts w:ascii="Times New Roman" w:hAnsi="Times New Roman" w:eastAsia="Times New Roman" w:cs="Times New Roman"/>
      <w:b/>
      <w:bCs/>
      <w:sz w:val="24"/>
      <w:szCs w:val="26"/>
    </w:rPr>
  </w:style>
  <w:style w:type="character" w:styleId="Heading3Char">
    <w:name w:val="Heading 3 Char"/>
    <w:qFormat/>
    <w:rPr>
      <w:rFonts w:ascii="Times New Roman" w:hAnsi="Times New Roman" w:eastAsia="Times New Roman" w:cs="Times New Roman"/>
      <w:bCs/>
      <w:i/>
      <w:sz w:val="24"/>
    </w:rPr>
  </w:style>
  <w:style w:type="character" w:styleId="Heading4Char">
    <w:name w:val="Heading 4 Char"/>
    <w:qFormat/>
    <w:rPr>
      <w:rFonts w:ascii="Times New Roman" w:hAnsi="Times New Roman" w:eastAsia="Times New Roman" w:cs="Times New Roman"/>
      <w:bCs/>
      <w:iCs/>
      <w:sz w:val="24"/>
    </w:rPr>
  </w:style>
  <w:style w:type="character" w:styleId="CommentReference">
    <w:name w:val="Comment Reference"/>
    <w:qFormat/>
    <w:rPr>
      <w:sz w:val="16"/>
      <w:szCs w:val="16"/>
    </w:rPr>
  </w:style>
  <w:style w:type="character" w:styleId="CommentTextChar">
    <w:name w:val="Comment Text Char"/>
    <w:qFormat/>
    <w:rPr>
      <w:rFonts w:ascii="Times New Roman" w:hAnsi="Times New Roman" w:cs="Times New Roman"/>
      <w:sz w:val="20"/>
      <w:szCs w:val="20"/>
    </w:rPr>
  </w:style>
  <w:style w:type="character" w:styleId="BalloonTextChar">
    <w:name w:val="Balloon Text Char"/>
    <w:qFormat/>
    <w:rPr>
      <w:rFonts w:ascii="Segoe UI" w:hAnsi="Segoe UI" w:cs="Segoe UI"/>
      <w:sz w:val="18"/>
      <w:szCs w:val="18"/>
    </w:rPr>
  </w:style>
  <w:style w:type="character" w:styleId="CommentSubjectChar">
    <w:name w:val="Comment Subject Char"/>
    <w:qFormat/>
    <w:rPr>
      <w:rFonts w:ascii="Times New Roman" w:hAnsi="Times New Roman" w:cs="Times New Roman"/>
      <w:b/>
      <w:bCs/>
      <w:sz w:val="20"/>
      <w:szCs w:val="20"/>
    </w:rPr>
  </w:style>
  <w:style w:type="character" w:styleId="Hyperlink">
    <w:name w:val="Hyperlink"/>
    <w:rPr>
      <w:color w:val="0000FF"/>
      <w:u w:val="single"/>
    </w:rPr>
  </w:style>
  <w:style w:type="character" w:styleId="Emphasis">
    <w:name w:val="Emphasis"/>
    <w:qFormat/>
    <w:rPr>
      <w:i/>
      <w:iCs/>
    </w:rPr>
  </w:style>
  <w:style w:type="character" w:styleId="FootnoteTextChar">
    <w:name w:val="Footnote Text Char"/>
    <w:qFormat/>
    <w:rPr>
      <w:rFonts w:ascii="Times New Roman" w:hAnsi="Times New Roman" w:cs="Times New Roman"/>
      <w:sz w:val="20"/>
      <w:szCs w:val="20"/>
    </w:rPr>
  </w:style>
  <w:style w:type="character" w:styleId="FootnoteCharacters">
    <w:name w:val="Footnote Characters"/>
    <w:qFormat/>
    <w:rPr>
      <w:shd w:fill="auto" w:val="clear"/>
      <w:vertAlign w:val="superscript"/>
    </w:rPr>
  </w:style>
  <w:style w:type="character" w:styleId="Marker1">
    <w:name w:val="Marker1"/>
    <w:qFormat/>
    <w:rPr>
      <w:color w:val="008000"/>
      <w:shd w:fill="auto" w:val="clear"/>
    </w:rPr>
  </w:style>
  <w:style w:type="character" w:styleId="Marker2">
    <w:name w:val="Marker2"/>
    <w:qFormat/>
    <w:rPr>
      <w:color w:val="FF0000"/>
      <w:shd w:fill="auto" w:val="clear"/>
    </w:rPr>
  </w:style>
  <w:style w:type="character" w:styleId="Added">
    <w:name w:val="Added"/>
    <w:qFormat/>
    <w:rPr>
      <w:b/>
      <w:u w:val="single"/>
      <w:shd w:fill="auto" w:val="clear"/>
    </w:rPr>
  </w:style>
  <w:style w:type="character" w:styleId="Deleted">
    <w:name w:val="Deleted"/>
    <w:qFormat/>
    <w:rPr>
      <w:strike w:val="false"/>
      <w:dstrike w:val="false"/>
      <w:shd w:fill="auto" w:val="clear"/>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next w:val="Normal"/>
    <w:qFormat/>
    <w:pPr>
      <w:spacing w:lineRule="auto" w:line="240"/>
      <w:jc w:val="both"/>
    </w:pPr>
    <w:rPr>
      <w:rFonts w:ascii="Times New Roman" w:hAnsi="Times New Roman" w:cs="Times New Roman"/>
      <w:i/>
      <w:iCs/>
      <w:color w:val="1F497D"/>
      <w:sz w:val="18"/>
      <w:szCs w:val="18"/>
    </w:rPr>
  </w:style>
  <w:style w:type="paragraph" w:styleId="Index">
    <w:name w:val="Index"/>
    <w:basedOn w:val="Normal"/>
    <w:qFormat/>
    <w:pPr>
      <w:suppressLineNumbers/>
    </w:pPr>
    <w:rPr/>
  </w:style>
  <w:style w:type="paragraph" w:styleId="Pagedecouverture">
    <w:name w:val="Page de couverture"/>
    <w:basedOn w:val="Normal"/>
    <w:next w:val="Normal"/>
    <w:qFormat/>
    <w:pPr>
      <w:spacing w:lineRule="auto" w:line="240" w:before="0" w:after="0"/>
      <w:jc w:val="both"/>
    </w:pPr>
    <w:rPr>
      <w:rFonts w:ascii="Times New Roman" w:hAnsi="Times New Roman" w:cs="Times New Roman"/>
      <w:sz w:val="24"/>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erCoverPage">
    <w:name w:val="Footer Cover Page"/>
    <w:basedOn w:val="Normal"/>
    <w:qFormat/>
    <w:pPr>
      <w:spacing w:lineRule="auto" w:line="240" w:before="360" w:after="0"/>
      <w:ind w:hanging="0" w:start="-850" w:end="-850"/>
    </w:pPr>
    <w:rPr>
      <w:rFonts w:ascii="Times New Roman" w:hAnsi="Times New Roman" w:cs="Times New Roman"/>
      <w:sz w:val="24"/>
    </w:rPr>
  </w:style>
  <w:style w:type="paragraph" w:styleId="FooterSensitivity">
    <w:name w:val="Footer Sensitivity"/>
    <w:basedOn w:val="Normal"/>
    <w:qFormat/>
    <w:pPr>
      <w:pBdr>
        <w:top w:val="single" w:sz="4" w:space="1" w:color="000000"/>
        <w:left w:val="single" w:sz="4" w:space="4" w:color="000000"/>
        <w:bottom w:val="single" w:sz="4" w:space="1" w:color="000000"/>
        <w:right w:val="single" w:sz="4" w:space="4" w:color="000000"/>
      </w:pBdr>
      <w:spacing w:lineRule="auto" w:line="240" w:before="360" w:after="0"/>
      <w:ind w:hanging="0" w:start="113" w:end="113"/>
      <w:jc w:val="center"/>
    </w:pPr>
    <w:rPr>
      <w:rFonts w:ascii="Times New Roman" w:hAnsi="Times New Roman" w:cs="Times New Roman"/>
      <w:b/>
      <w:sz w:val="32"/>
    </w:rPr>
  </w:style>
  <w:style w:type="paragraph" w:styleId="HeaderCoverPage">
    <w:name w:val="Header Cover Page"/>
    <w:basedOn w:val="Normal"/>
    <w:qFormat/>
    <w:pPr>
      <w:spacing w:lineRule="auto" w:line="240" w:before="0" w:after="120"/>
      <w:jc w:val="both"/>
    </w:pPr>
    <w:rPr>
      <w:rFonts w:ascii="Times New Roman" w:hAnsi="Times New Roman" w:cs="Times New Roman"/>
      <w:sz w:val="24"/>
    </w:rPr>
  </w:style>
  <w:style w:type="paragraph" w:styleId="HeaderSensitivity">
    <w:name w:val="Header Sensitivity"/>
    <w:basedOn w:val="Normal"/>
    <w:qFormat/>
    <w:pPr>
      <w:pBdr>
        <w:top w:val="single" w:sz="4" w:space="1" w:color="000000"/>
        <w:left w:val="single" w:sz="4" w:space="4" w:color="000000"/>
        <w:bottom w:val="single" w:sz="4" w:space="1" w:color="000000"/>
        <w:right w:val="single" w:sz="4" w:space="4" w:color="000000"/>
      </w:pBdr>
      <w:spacing w:lineRule="auto" w:line="240" w:before="0" w:after="120"/>
      <w:ind w:hanging="0" w:start="113" w:end="113"/>
      <w:jc w:val="center"/>
    </w:pPr>
    <w:rPr>
      <w:rFonts w:ascii="Times New Roman" w:hAnsi="Times New Roman" w:cs="Times New Roman"/>
      <w:b/>
      <w:sz w:val="32"/>
    </w:rPr>
  </w:style>
  <w:style w:type="paragraph" w:styleId="HeaderSensitivityRight">
    <w:name w:val="Header Sensitivity Right"/>
    <w:basedOn w:val="Normal"/>
    <w:qFormat/>
    <w:pPr>
      <w:spacing w:lineRule="auto" w:line="240" w:before="0" w:after="120"/>
      <w:jc w:val="end"/>
    </w:pPr>
    <w:rPr>
      <w:rFonts w:ascii="Times New Roman" w:hAnsi="Times New Roman" w:cs="Times New Roman"/>
      <w:sz w:val="28"/>
    </w:rPr>
  </w:style>
  <w:style w:type="paragraph" w:styleId="CommentText">
    <w:name w:val="Comment Text"/>
    <w:basedOn w:val="Normal"/>
    <w:qFormat/>
    <w:pPr>
      <w:spacing w:lineRule="auto" w:line="240" w:before="120" w:after="120"/>
      <w:jc w:val="both"/>
    </w:pPr>
    <w:rPr>
      <w:rFonts w:ascii="Times New Roman" w:hAnsi="Times New Roman" w:cs="Times New Roman"/>
      <w:sz w:val="20"/>
      <w:szCs w:val="20"/>
    </w:rPr>
  </w:style>
  <w:style w:type="paragraph" w:styleId="BalloonText">
    <w:name w:val="Balloon Text"/>
    <w:basedOn w:val="Normal"/>
    <w:qFormat/>
    <w:pPr>
      <w:spacing w:lineRule="auto" w:line="240" w:before="0" w:after="0"/>
      <w:jc w:val="both"/>
    </w:pPr>
    <w:rPr>
      <w:rFonts w:ascii="Segoe UI" w:hAnsi="Segoe UI" w:cs="Segoe UI"/>
      <w:sz w:val="18"/>
      <w:szCs w:val="18"/>
    </w:rPr>
  </w:style>
  <w:style w:type="paragraph" w:styleId="ListBullet">
    <w:name w:val="List Bullet"/>
    <w:basedOn w:val="Normal"/>
    <w:qFormat/>
    <w:pPr>
      <w:numPr>
        <w:ilvl w:val="0"/>
        <w:numId w:val="9"/>
      </w:numPr>
      <w:spacing w:lineRule="auto" w:line="240" w:before="120" w:after="120"/>
      <w:contextualSpacing/>
      <w:jc w:val="both"/>
    </w:pPr>
    <w:rPr>
      <w:rFonts w:ascii="Times New Roman" w:hAnsi="Times New Roman" w:cs="Times New Roman"/>
      <w:sz w:val="24"/>
    </w:rPr>
  </w:style>
  <w:style w:type="paragraph" w:styleId="ListBullet2">
    <w:name w:val="List Bullet 2"/>
    <w:basedOn w:val="Normal"/>
    <w:qFormat/>
    <w:pPr>
      <w:numPr>
        <w:ilvl w:val="0"/>
        <w:numId w:val="7"/>
      </w:numPr>
      <w:spacing w:lineRule="auto" w:line="240" w:before="120" w:after="120"/>
      <w:contextualSpacing/>
      <w:jc w:val="both"/>
    </w:pPr>
    <w:rPr>
      <w:rFonts w:ascii="Times New Roman" w:hAnsi="Times New Roman" w:cs="Times New Roman"/>
      <w:sz w:val="24"/>
    </w:rPr>
  </w:style>
  <w:style w:type="paragraph" w:styleId="ListBullet3">
    <w:name w:val="List Bullet 3"/>
    <w:basedOn w:val="Normal"/>
    <w:qFormat/>
    <w:pPr>
      <w:numPr>
        <w:ilvl w:val="0"/>
        <w:numId w:val="6"/>
      </w:numPr>
      <w:spacing w:lineRule="auto" w:line="240" w:before="120" w:after="120"/>
      <w:contextualSpacing/>
      <w:jc w:val="both"/>
    </w:pPr>
    <w:rPr>
      <w:rFonts w:ascii="Times New Roman" w:hAnsi="Times New Roman" w:cs="Times New Roman"/>
      <w:sz w:val="24"/>
    </w:rPr>
  </w:style>
  <w:style w:type="paragraph" w:styleId="ListBullet4">
    <w:name w:val="List Bullet 4"/>
    <w:basedOn w:val="Normal"/>
    <w:qFormat/>
    <w:pPr>
      <w:numPr>
        <w:ilvl w:val="0"/>
        <w:numId w:val="5"/>
      </w:numPr>
      <w:spacing w:lineRule="auto" w:line="240" w:before="120" w:after="120"/>
      <w:contextualSpacing/>
      <w:jc w:val="both"/>
    </w:pPr>
    <w:rPr>
      <w:rFonts w:ascii="Times New Roman" w:hAnsi="Times New Roman" w:cs="Times New Roman"/>
      <w:sz w:val="24"/>
    </w:rPr>
  </w:style>
  <w:style w:type="paragraph" w:styleId="ListParagraph">
    <w:name w:val="List Paragraph"/>
    <w:basedOn w:val="Normal"/>
    <w:qFormat/>
    <w:pPr>
      <w:spacing w:lineRule="auto" w:line="256" w:before="0" w:after="160"/>
      <w:ind w:hanging="0" w:start="720" w:end="0"/>
      <w:contextualSpacing/>
    </w:pPr>
    <w:rPr/>
  </w:style>
  <w:style w:type="paragraph" w:styleId="CommentSubject">
    <w:name w:val="Comment Subject"/>
    <w:basedOn w:val="CommentText"/>
    <w:next w:val="CommentText"/>
    <w:qFormat/>
    <w:pPr/>
    <w:rPr>
      <w:b/>
      <w:bCs/>
    </w:rPr>
  </w:style>
  <w:style w:type="paragraph" w:styleId="Titreobjet">
    <w:name w:val="Titre objet"/>
    <w:basedOn w:val="Normal"/>
    <w:next w:val="IntrtEEE"/>
    <w:qFormat/>
    <w:pPr>
      <w:spacing w:lineRule="auto" w:line="240" w:before="360" w:after="360"/>
      <w:jc w:val="center"/>
    </w:pPr>
    <w:rPr>
      <w:rFonts w:ascii="Times New Roman" w:hAnsi="Times New Roman" w:cs="Times New Roman"/>
      <w:b/>
      <w:sz w:val="24"/>
    </w:rPr>
  </w:style>
  <w:style w:type="paragraph" w:styleId="TitreobjetPagedecouverture">
    <w:name w:val="Titre objet (Page de couverture)"/>
    <w:basedOn w:val="Titreobjet"/>
    <w:next w:val="IntrtEEEPagedecouverture"/>
    <w:qFormat/>
    <w:pPr/>
    <w:rPr/>
  </w:style>
  <w:style w:type="paragraph" w:styleId="TableofFigures">
    <w:name w:val="Table of Figures"/>
    <w:basedOn w:val="Normal"/>
    <w:next w:val="Normal"/>
    <w:qFormat/>
    <w:pPr>
      <w:spacing w:lineRule="auto" w:line="240" w:before="120" w:after="0"/>
      <w:jc w:val="both"/>
    </w:pPr>
    <w:rPr>
      <w:rFonts w:ascii="Times New Roman" w:hAnsi="Times New Roman" w:cs="Times New Roman"/>
      <w:sz w:val="24"/>
    </w:rPr>
  </w:style>
  <w:style w:type="paragraph" w:styleId="ListNumber">
    <w:name w:val="List Number"/>
    <w:basedOn w:val="Normal"/>
    <w:qFormat/>
    <w:pPr>
      <w:numPr>
        <w:ilvl w:val="0"/>
        <w:numId w:val="8"/>
      </w:numPr>
      <w:spacing w:lineRule="auto" w:line="240" w:before="120" w:after="120"/>
      <w:contextualSpacing/>
      <w:jc w:val="both"/>
    </w:pPr>
    <w:rPr>
      <w:rFonts w:ascii="Times New Roman" w:hAnsi="Times New Roman" w:cs="Times New Roman"/>
      <w:sz w:val="24"/>
    </w:rPr>
  </w:style>
  <w:style w:type="paragraph" w:styleId="ListNumber2">
    <w:name w:val="List Number 2"/>
    <w:basedOn w:val="Normal"/>
    <w:qFormat/>
    <w:pPr>
      <w:numPr>
        <w:ilvl w:val="0"/>
        <w:numId w:val="4"/>
      </w:numPr>
      <w:spacing w:lineRule="auto" w:line="240" w:before="120" w:after="120"/>
      <w:contextualSpacing/>
      <w:jc w:val="both"/>
    </w:pPr>
    <w:rPr>
      <w:rFonts w:ascii="Times New Roman" w:hAnsi="Times New Roman" w:cs="Times New Roman"/>
      <w:sz w:val="24"/>
    </w:rPr>
  </w:style>
  <w:style w:type="paragraph" w:styleId="ListNumber3">
    <w:name w:val="List Number 3"/>
    <w:basedOn w:val="Normal"/>
    <w:qFormat/>
    <w:pPr>
      <w:numPr>
        <w:ilvl w:val="0"/>
        <w:numId w:val="3"/>
      </w:numPr>
      <w:spacing w:lineRule="auto" w:line="240" w:before="120" w:after="120"/>
      <w:contextualSpacing/>
      <w:jc w:val="both"/>
    </w:pPr>
    <w:rPr>
      <w:rFonts w:ascii="Times New Roman" w:hAnsi="Times New Roman" w:cs="Times New Roman"/>
      <w:sz w:val="24"/>
    </w:rPr>
  </w:style>
  <w:style w:type="paragraph" w:styleId="ListNumber4">
    <w:name w:val="List Number 4"/>
    <w:basedOn w:val="Normal"/>
    <w:qFormat/>
    <w:pPr>
      <w:numPr>
        <w:ilvl w:val="0"/>
        <w:numId w:val="2"/>
      </w:numPr>
      <w:spacing w:lineRule="auto" w:line="240" w:before="120" w:after="120"/>
      <w:contextualSpacing/>
      <w:jc w:val="both"/>
    </w:pPr>
    <w:rPr>
      <w:rFonts w:ascii="Times New Roman" w:hAnsi="Times New Roman" w:cs="Times New Roman"/>
      <w:sz w:val="24"/>
    </w:rPr>
  </w:style>
  <w:style w:type="paragraph" w:styleId="Normal1">
    <w:name w:val="Normal1"/>
    <w:basedOn w:val="Normal"/>
    <w:qFormat/>
    <w:pPr>
      <w:spacing w:lineRule="auto" w:line="240" w:before="280" w:after="280"/>
    </w:pPr>
    <w:rPr>
      <w:rFonts w:ascii="Times New Roman" w:hAnsi="Times New Roman" w:eastAsia="Times New Roman" w:cs="Times New Roman"/>
      <w:sz w:val="24"/>
      <w:szCs w:val="24"/>
    </w:rPr>
  </w:style>
  <w:style w:type="paragraph" w:styleId="FootnoteText">
    <w:name w:val="Footnote Text"/>
    <w:basedOn w:val="Normal"/>
    <w:pPr>
      <w:spacing w:lineRule="auto" w:line="240" w:before="0" w:after="0"/>
      <w:ind w:hanging="720" w:start="720" w:end="0"/>
      <w:jc w:val="both"/>
    </w:pPr>
    <w:rPr>
      <w:rFonts w:ascii="Times New Roman" w:hAnsi="Times New Roman" w:cs="Times New Roman"/>
      <w:sz w:val="20"/>
      <w:szCs w:val="20"/>
    </w:rPr>
  </w:style>
  <w:style w:type="paragraph" w:styleId="TOCHeading">
    <w:name w:val="TOC Heading"/>
    <w:basedOn w:val="Normal"/>
    <w:next w:val="Normal"/>
    <w:qFormat/>
    <w:pPr>
      <w:spacing w:lineRule="auto" w:line="240" w:before="120" w:after="240"/>
      <w:jc w:val="center"/>
    </w:pPr>
    <w:rPr>
      <w:rFonts w:ascii="Times New Roman" w:hAnsi="Times New Roman" w:cs="Times New Roman"/>
      <w:b/>
      <w:sz w:val="28"/>
    </w:rPr>
  </w:style>
  <w:style w:type="paragraph" w:styleId="TOC1">
    <w:name w:val="TOC 1"/>
    <w:basedOn w:val="Normal"/>
    <w:next w:val="Normal"/>
    <w:pPr>
      <w:spacing w:lineRule="auto" w:line="240" w:before="60" w:after="120"/>
      <w:ind w:hanging="850" w:start="850" w:end="0"/>
    </w:pPr>
    <w:rPr>
      <w:rFonts w:ascii="Times New Roman" w:hAnsi="Times New Roman" w:cs="Times New Roman"/>
      <w:sz w:val="24"/>
    </w:rPr>
  </w:style>
  <w:style w:type="paragraph" w:styleId="TOC2">
    <w:name w:val="TOC 2"/>
    <w:basedOn w:val="Normal"/>
    <w:next w:val="Normal"/>
    <w:pPr>
      <w:spacing w:lineRule="auto" w:line="240" w:before="60" w:after="120"/>
      <w:ind w:hanging="850" w:start="850" w:end="0"/>
    </w:pPr>
    <w:rPr>
      <w:rFonts w:ascii="Times New Roman" w:hAnsi="Times New Roman" w:cs="Times New Roman"/>
      <w:sz w:val="24"/>
    </w:rPr>
  </w:style>
  <w:style w:type="paragraph" w:styleId="TOC3">
    <w:name w:val="TOC 3"/>
    <w:basedOn w:val="Normal"/>
    <w:next w:val="Normal"/>
    <w:pPr>
      <w:spacing w:lineRule="auto" w:line="240" w:before="60" w:after="120"/>
      <w:ind w:hanging="850" w:start="850" w:end="0"/>
    </w:pPr>
    <w:rPr>
      <w:rFonts w:ascii="Times New Roman" w:hAnsi="Times New Roman" w:cs="Times New Roman"/>
      <w:sz w:val="24"/>
    </w:rPr>
  </w:style>
  <w:style w:type="paragraph" w:styleId="TOC4">
    <w:name w:val="TOC 4"/>
    <w:basedOn w:val="Normal"/>
    <w:next w:val="Normal"/>
    <w:pPr>
      <w:spacing w:lineRule="auto" w:line="240" w:before="60" w:after="120"/>
      <w:ind w:hanging="850" w:start="850" w:end="0"/>
    </w:pPr>
    <w:rPr>
      <w:rFonts w:ascii="Times New Roman" w:hAnsi="Times New Roman" w:cs="Times New Roman"/>
      <w:sz w:val="24"/>
    </w:rPr>
  </w:style>
  <w:style w:type="paragraph" w:styleId="TOC5">
    <w:name w:val="TOC 5"/>
    <w:basedOn w:val="Normal"/>
    <w:next w:val="Normal"/>
    <w:pPr>
      <w:spacing w:lineRule="auto" w:line="240" w:before="300" w:after="120"/>
    </w:pPr>
    <w:rPr>
      <w:rFonts w:ascii="Times New Roman" w:hAnsi="Times New Roman" w:cs="Times New Roman"/>
      <w:sz w:val="24"/>
    </w:rPr>
  </w:style>
  <w:style w:type="paragraph" w:styleId="TOC6">
    <w:name w:val="TOC 6"/>
    <w:basedOn w:val="Normal"/>
    <w:next w:val="Normal"/>
    <w:pPr>
      <w:spacing w:lineRule="auto" w:line="240" w:before="240" w:after="120"/>
    </w:pPr>
    <w:rPr>
      <w:rFonts w:ascii="Times New Roman" w:hAnsi="Times New Roman" w:cs="Times New Roman"/>
      <w:sz w:val="24"/>
    </w:rPr>
  </w:style>
  <w:style w:type="paragraph" w:styleId="TOC7">
    <w:name w:val="TOC 7"/>
    <w:basedOn w:val="Normal"/>
    <w:next w:val="Normal"/>
    <w:pPr>
      <w:spacing w:lineRule="auto" w:line="240" w:before="180" w:after="120"/>
    </w:pPr>
    <w:rPr>
      <w:rFonts w:ascii="Times New Roman" w:hAnsi="Times New Roman" w:cs="Times New Roman"/>
      <w:sz w:val="24"/>
    </w:rPr>
  </w:style>
  <w:style w:type="paragraph" w:styleId="TOC8">
    <w:name w:val="TOC 8"/>
    <w:basedOn w:val="Normal"/>
    <w:next w:val="Normal"/>
    <w:pPr>
      <w:spacing w:lineRule="auto" w:line="240" w:before="120" w:after="120"/>
    </w:pPr>
    <w:rPr>
      <w:rFonts w:ascii="Times New Roman" w:hAnsi="Times New Roman" w:cs="Times New Roman"/>
      <w:sz w:val="24"/>
    </w:rPr>
  </w:style>
  <w:style w:type="paragraph" w:styleId="TOC9">
    <w:name w:val="TOC 9"/>
    <w:basedOn w:val="Normal"/>
    <w:next w:val="Normal"/>
    <w:pPr>
      <w:spacing w:lineRule="auto" w:line="240" w:before="120" w:after="120"/>
      <w:jc w:val="both"/>
    </w:pPr>
    <w:rPr>
      <w:rFonts w:ascii="Times New Roman" w:hAnsi="Times New Roman" w:cs="Times New Roman"/>
      <w:sz w:val="24"/>
    </w:rPr>
  </w:style>
  <w:style w:type="paragraph" w:styleId="HeaderLandscape">
    <w:name w:val="HeaderLandscape"/>
    <w:basedOn w:val="Normal"/>
    <w:qFormat/>
    <w:pPr>
      <w:spacing w:lineRule="auto" w:line="240" w:before="0" w:after="120"/>
      <w:jc w:val="both"/>
    </w:pPr>
    <w:rPr>
      <w:rFonts w:ascii="Times New Roman" w:hAnsi="Times New Roman" w:cs="Times New Roman"/>
      <w:sz w:val="24"/>
    </w:rPr>
  </w:style>
  <w:style w:type="paragraph" w:styleId="FooterLandscape">
    <w:name w:val="FooterLandscape"/>
    <w:basedOn w:val="Normal"/>
    <w:qFormat/>
    <w:pPr>
      <w:spacing w:lineRule="auto" w:line="240" w:before="360" w:after="0"/>
      <w:ind w:hanging="0" w:start="-567" w:end="-567"/>
    </w:pPr>
    <w:rPr>
      <w:rFonts w:ascii="Times New Roman" w:hAnsi="Times New Roman" w:cs="Times New Roman"/>
      <w:sz w:val="24"/>
    </w:rPr>
  </w:style>
  <w:style w:type="paragraph" w:styleId="Text1">
    <w:name w:val="Text 1"/>
    <w:basedOn w:val="Normal"/>
    <w:qFormat/>
    <w:pPr>
      <w:spacing w:lineRule="auto" w:line="240" w:before="120" w:after="120"/>
      <w:ind w:hanging="0" w:start="850" w:end="0"/>
      <w:jc w:val="both"/>
    </w:pPr>
    <w:rPr>
      <w:rFonts w:ascii="Times New Roman" w:hAnsi="Times New Roman" w:cs="Times New Roman"/>
      <w:sz w:val="24"/>
    </w:rPr>
  </w:style>
  <w:style w:type="paragraph" w:styleId="Text2">
    <w:name w:val="Text 2"/>
    <w:basedOn w:val="Normal"/>
    <w:qFormat/>
    <w:pPr>
      <w:spacing w:lineRule="auto" w:line="240" w:before="120" w:after="120"/>
      <w:ind w:hanging="0" w:start="1417" w:end="0"/>
      <w:jc w:val="both"/>
    </w:pPr>
    <w:rPr>
      <w:rFonts w:ascii="Times New Roman" w:hAnsi="Times New Roman" w:cs="Times New Roman"/>
      <w:sz w:val="24"/>
    </w:rPr>
  </w:style>
  <w:style w:type="paragraph" w:styleId="Text3">
    <w:name w:val="Text 3"/>
    <w:basedOn w:val="Normal"/>
    <w:qFormat/>
    <w:pPr>
      <w:spacing w:lineRule="auto" w:line="240" w:before="120" w:after="120"/>
      <w:ind w:hanging="0" w:start="1984" w:end="0"/>
      <w:jc w:val="both"/>
    </w:pPr>
    <w:rPr>
      <w:rFonts w:ascii="Times New Roman" w:hAnsi="Times New Roman" w:cs="Times New Roman"/>
      <w:sz w:val="24"/>
    </w:rPr>
  </w:style>
  <w:style w:type="paragraph" w:styleId="Text4">
    <w:name w:val="Text 4"/>
    <w:basedOn w:val="Normal"/>
    <w:qFormat/>
    <w:pPr>
      <w:spacing w:lineRule="auto" w:line="240" w:before="120" w:after="120"/>
      <w:ind w:hanging="0" w:start="2551" w:end="0"/>
      <w:jc w:val="both"/>
    </w:pPr>
    <w:rPr>
      <w:rFonts w:ascii="Times New Roman" w:hAnsi="Times New Roman" w:cs="Times New Roman"/>
      <w:sz w:val="24"/>
    </w:rPr>
  </w:style>
  <w:style w:type="paragraph" w:styleId="NormalCentered">
    <w:name w:val="Normal Centered"/>
    <w:basedOn w:val="Normal"/>
    <w:qFormat/>
    <w:pPr>
      <w:spacing w:lineRule="auto" w:line="240" w:before="120" w:after="120"/>
      <w:jc w:val="center"/>
    </w:pPr>
    <w:rPr>
      <w:rFonts w:ascii="Times New Roman" w:hAnsi="Times New Roman" w:cs="Times New Roman"/>
      <w:sz w:val="24"/>
    </w:rPr>
  </w:style>
  <w:style w:type="paragraph" w:styleId="NormalLeft">
    <w:name w:val="Normal Left"/>
    <w:basedOn w:val="Normal"/>
    <w:qFormat/>
    <w:pPr>
      <w:spacing w:lineRule="auto" w:line="240" w:before="120" w:after="120"/>
    </w:pPr>
    <w:rPr>
      <w:rFonts w:ascii="Times New Roman" w:hAnsi="Times New Roman" w:cs="Times New Roman"/>
      <w:sz w:val="24"/>
    </w:rPr>
  </w:style>
  <w:style w:type="paragraph" w:styleId="NormalRight">
    <w:name w:val="Normal Right"/>
    <w:basedOn w:val="Normal"/>
    <w:qFormat/>
    <w:pPr>
      <w:spacing w:lineRule="auto" w:line="240" w:before="120" w:after="120"/>
      <w:jc w:val="end"/>
    </w:pPr>
    <w:rPr>
      <w:rFonts w:ascii="Times New Roman" w:hAnsi="Times New Roman" w:cs="Times New Roman"/>
      <w:sz w:val="24"/>
    </w:rPr>
  </w:style>
  <w:style w:type="paragraph" w:styleId="QuotedText">
    <w:name w:val="Quoted Text"/>
    <w:basedOn w:val="Normal"/>
    <w:qFormat/>
    <w:pPr>
      <w:spacing w:lineRule="auto" w:line="240" w:before="120" w:after="120"/>
      <w:ind w:hanging="0" w:start="1417" w:end="0"/>
      <w:jc w:val="both"/>
    </w:pPr>
    <w:rPr>
      <w:rFonts w:ascii="Times New Roman" w:hAnsi="Times New Roman" w:cs="Times New Roman"/>
      <w:sz w:val="24"/>
    </w:rPr>
  </w:style>
  <w:style w:type="paragraph" w:styleId="Point0">
    <w:name w:val="Point 0"/>
    <w:basedOn w:val="Normal"/>
    <w:qFormat/>
    <w:pPr>
      <w:spacing w:lineRule="auto" w:line="240" w:before="120" w:after="120"/>
      <w:ind w:hanging="850" w:start="850" w:end="0"/>
      <w:jc w:val="both"/>
    </w:pPr>
    <w:rPr>
      <w:rFonts w:ascii="Times New Roman" w:hAnsi="Times New Roman" w:cs="Times New Roman"/>
      <w:sz w:val="24"/>
    </w:rPr>
  </w:style>
  <w:style w:type="paragraph" w:styleId="Point1">
    <w:name w:val="Point 1"/>
    <w:basedOn w:val="Normal"/>
    <w:qFormat/>
    <w:pPr>
      <w:spacing w:lineRule="auto" w:line="240" w:before="120" w:after="120"/>
      <w:ind w:hanging="567" w:start="1417" w:end="0"/>
      <w:jc w:val="both"/>
    </w:pPr>
    <w:rPr>
      <w:rFonts w:ascii="Times New Roman" w:hAnsi="Times New Roman" w:cs="Times New Roman"/>
      <w:sz w:val="24"/>
    </w:rPr>
  </w:style>
  <w:style w:type="paragraph" w:styleId="Point2">
    <w:name w:val="Point 2"/>
    <w:basedOn w:val="Normal"/>
    <w:qFormat/>
    <w:pPr>
      <w:spacing w:lineRule="auto" w:line="240" w:before="120" w:after="120"/>
      <w:ind w:hanging="567" w:start="1984" w:end="0"/>
      <w:jc w:val="both"/>
    </w:pPr>
    <w:rPr>
      <w:rFonts w:ascii="Times New Roman" w:hAnsi="Times New Roman" w:cs="Times New Roman"/>
      <w:sz w:val="24"/>
    </w:rPr>
  </w:style>
  <w:style w:type="paragraph" w:styleId="Point3">
    <w:name w:val="Point 3"/>
    <w:basedOn w:val="Normal"/>
    <w:qFormat/>
    <w:pPr>
      <w:spacing w:lineRule="auto" w:line="240" w:before="120" w:after="120"/>
      <w:ind w:hanging="567" w:start="2551" w:end="0"/>
      <w:jc w:val="both"/>
    </w:pPr>
    <w:rPr>
      <w:rFonts w:ascii="Times New Roman" w:hAnsi="Times New Roman" w:cs="Times New Roman"/>
      <w:sz w:val="24"/>
    </w:rPr>
  </w:style>
  <w:style w:type="paragraph" w:styleId="Point4">
    <w:name w:val="Point 4"/>
    <w:basedOn w:val="Normal"/>
    <w:qFormat/>
    <w:pPr>
      <w:spacing w:lineRule="auto" w:line="240" w:before="120" w:after="120"/>
      <w:ind w:hanging="567" w:start="3118" w:end="0"/>
      <w:jc w:val="both"/>
    </w:pPr>
    <w:rPr>
      <w:rFonts w:ascii="Times New Roman" w:hAnsi="Times New Roman" w:cs="Times New Roman"/>
      <w:sz w:val="24"/>
    </w:rPr>
  </w:style>
  <w:style w:type="paragraph" w:styleId="Tiret0">
    <w:name w:val="Tiret 0"/>
    <w:basedOn w:val="Point0"/>
    <w:qFormat/>
    <w:pPr>
      <w:numPr>
        <w:ilvl w:val="0"/>
        <w:numId w:val="20"/>
      </w:numPr>
    </w:pPr>
    <w:rPr/>
  </w:style>
  <w:style w:type="paragraph" w:styleId="Tiret1">
    <w:name w:val="Tiret 1"/>
    <w:basedOn w:val="Point1"/>
    <w:qFormat/>
    <w:pPr>
      <w:numPr>
        <w:ilvl w:val="0"/>
        <w:numId w:val="14"/>
      </w:numPr>
    </w:pPr>
    <w:rPr/>
  </w:style>
  <w:style w:type="paragraph" w:styleId="Tiret2">
    <w:name w:val="Tiret 2"/>
    <w:basedOn w:val="Point2"/>
    <w:qFormat/>
    <w:pPr>
      <w:numPr>
        <w:ilvl w:val="0"/>
        <w:numId w:val="21"/>
      </w:numPr>
    </w:pPr>
    <w:rPr/>
  </w:style>
  <w:style w:type="paragraph" w:styleId="Tiret3">
    <w:name w:val="Tiret 3"/>
    <w:basedOn w:val="Point3"/>
    <w:qFormat/>
    <w:pPr>
      <w:numPr>
        <w:ilvl w:val="0"/>
        <w:numId w:val="13"/>
      </w:numPr>
    </w:pPr>
    <w:rPr/>
  </w:style>
  <w:style w:type="paragraph" w:styleId="Tiret4">
    <w:name w:val="Tiret 4"/>
    <w:basedOn w:val="Point4"/>
    <w:qFormat/>
    <w:pPr>
      <w:numPr>
        <w:ilvl w:val="0"/>
        <w:numId w:val="15"/>
      </w:numPr>
    </w:pPr>
    <w:rPr/>
  </w:style>
  <w:style w:type="paragraph" w:styleId="PointDouble0">
    <w:name w:val="PointDouble 0"/>
    <w:basedOn w:val="Normal"/>
    <w:qFormat/>
    <w:pPr>
      <w:spacing w:lineRule="auto" w:line="240" w:before="120" w:after="120"/>
      <w:ind w:hanging="1417" w:start="1417" w:end="0"/>
      <w:jc w:val="both"/>
    </w:pPr>
    <w:rPr>
      <w:rFonts w:ascii="Times New Roman" w:hAnsi="Times New Roman" w:cs="Times New Roman"/>
      <w:sz w:val="24"/>
    </w:rPr>
  </w:style>
  <w:style w:type="paragraph" w:styleId="PointDouble1">
    <w:name w:val="PointDouble 1"/>
    <w:basedOn w:val="Normal"/>
    <w:qFormat/>
    <w:pPr>
      <w:spacing w:lineRule="auto" w:line="240" w:before="120" w:after="120"/>
      <w:ind w:hanging="1134" w:start="1984" w:end="0"/>
      <w:jc w:val="both"/>
    </w:pPr>
    <w:rPr>
      <w:rFonts w:ascii="Times New Roman" w:hAnsi="Times New Roman" w:cs="Times New Roman"/>
      <w:sz w:val="24"/>
    </w:rPr>
  </w:style>
  <w:style w:type="paragraph" w:styleId="PointDouble2">
    <w:name w:val="PointDouble 2"/>
    <w:basedOn w:val="Normal"/>
    <w:qFormat/>
    <w:pPr>
      <w:spacing w:lineRule="auto" w:line="240" w:before="120" w:after="120"/>
      <w:ind w:hanging="1134" w:start="2551" w:end="0"/>
      <w:jc w:val="both"/>
    </w:pPr>
    <w:rPr>
      <w:rFonts w:ascii="Times New Roman" w:hAnsi="Times New Roman" w:cs="Times New Roman"/>
      <w:sz w:val="24"/>
    </w:rPr>
  </w:style>
  <w:style w:type="paragraph" w:styleId="PointDouble3">
    <w:name w:val="PointDouble 3"/>
    <w:basedOn w:val="Normal"/>
    <w:qFormat/>
    <w:pPr>
      <w:spacing w:lineRule="auto" w:line="240" w:before="120" w:after="120"/>
      <w:ind w:hanging="1134" w:start="3118" w:end="0"/>
      <w:jc w:val="both"/>
    </w:pPr>
    <w:rPr>
      <w:rFonts w:ascii="Times New Roman" w:hAnsi="Times New Roman" w:cs="Times New Roman"/>
      <w:sz w:val="24"/>
    </w:rPr>
  </w:style>
  <w:style w:type="paragraph" w:styleId="PointDouble4">
    <w:name w:val="PointDouble 4"/>
    <w:basedOn w:val="Normal"/>
    <w:qFormat/>
    <w:pPr>
      <w:spacing w:lineRule="auto" w:line="240" w:before="120" w:after="120"/>
      <w:ind w:hanging="1134" w:start="3685" w:end="0"/>
      <w:jc w:val="both"/>
    </w:pPr>
    <w:rPr>
      <w:rFonts w:ascii="Times New Roman" w:hAnsi="Times New Roman" w:cs="Times New Roman"/>
      <w:sz w:val="24"/>
    </w:rPr>
  </w:style>
  <w:style w:type="paragraph" w:styleId="PointTriple0">
    <w:name w:val="PointTriple 0"/>
    <w:basedOn w:val="Normal"/>
    <w:qFormat/>
    <w:pPr>
      <w:spacing w:lineRule="auto" w:line="240" w:before="120" w:after="120"/>
      <w:ind w:hanging="1984" w:start="1984" w:end="0"/>
      <w:jc w:val="both"/>
    </w:pPr>
    <w:rPr>
      <w:rFonts w:ascii="Times New Roman" w:hAnsi="Times New Roman" w:cs="Times New Roman"/>
      <w:sz w:val="24"/>
    </w:rPr>
  </w:style>
  <w:style w:type="paragraph" w:styleId="PointTriple1">
    <w:name w:val="PointTriple 1"/>
    <w:basedOn w:val="Normal"/>
    <w:qFormat/>
    <w:pPr>
      <w:spacing w:lineRule="auto" w:line="240" w:before="120" w:after="120"/>
      <w:ind w:hanging="1701" w:start="2551" w:end="0"/>
      <w:jc w:val="both"/>
    </w:pPr>
    <w:rPr>
      <w:rFonts w:ascii="Times New Roman" w:hAnsi="Times New Roman" w:cs="Times New Roman"/>
      <w:sz w:val="24"/>
    </w:rPr>
  </w:style>
  <w:style w:type="paragraph" w:styleId="PointTriple2">
    <w:name w:val="PointTriple 2"/>
    <w:basedOn w:val="Normal"/>
    <w:qFormat/>
    <w:pPr>
      <w:spacing w:lineRule="auto" w:line="240" w:before="120" w:after="120"/>
      <w:ind w:hanging="1701" w:start="3118" w:end="0"/>
      <w:jc w:val="both"/>
    </w:pPr>
    <w:rPr>
      <w:rFonts w:ascii="Times New Roman" w:hAnsi="Times New Roman" w:cs="Times New Roman"/>
      <w:sz w:val="24"/>
    </w:rPr>
  </w:style>
  <w:style w:type="paragraph" w:styleId="PointTriple3">
    <w:name w:val="PointTriple 3"/>
    <w:basedOn w:val="Normal"/>
    <w:qFormat/>
    <w:pPr>
      <w:spacing w:lineRule="auto" w:line="240" w:before="120" w:after="120"/>
      <w:ind w:hanging="1701" w:start="3685" w:end="0"/>
      <w:jc w:val="both"/>
    </w:pPr>
    <w:rPr>
      <w:rFonts w:ascii="Times New Roman" w:hAnsi="Times New Roman" w:cs="Times New Roman"/>
      <w:sz w:val="24"/>
    </w:rPr>
  </w:style>
  <w:style w:type="paragraph" w:styleId="PointTriple4">
    <w:name w:val="PointTriple 4"/>
    <w:basedOn w:val="Normal"/>
    <w:qFormat/>
    <w:pPr>
      <w:spacing w:lineRule="auto" w:line="240" w:before="120" w:after="120"/>
      <w:ind w:hanging="1701" w:start="4252" w:end="0"/>
      <w:jc w:val="both"/>
    </w:pPr>
    <w:rPr>
      <w:rFonts w:ascii="Times New Roman" w:hAnsi="Times New Roman" w:cs="Times New Roman"/>
      <w:sz w:val="24"/>
    </w:rPr>
  </w:style>
  <w:style w:type="paragraph" w:styleId="NumPar1">
    <w:name w:val="NumPar 1"/>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NumPar2">
    <w:name w:val="NumPar 2"/>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NumPar3">
    <w:name w:val="NumPar 3"/>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NumPar4">
    <w:name w:val="NumPar 4"/>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ManualNumPar1">
    <w:name w:val="Manual NumPar 1"/>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ManualNumPar2">
    <w:name w:val="Manual NumPar 2"/>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ManualNumPar3">
    <w:name w:val="Manual NumPar 3"/>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ManualNumPar4">
    <w:name w:val="Manual NumPar 4"/>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QuotedNumPar">
    <w:name w:val="Quoted NumPar"/>
    <w:basedOn w:val="Normal"/>
    <w:qFormat/>
    <w:pPr>
      <w:spacing w:lineRule="auto" w:line="240" w:before="120" w:after="120"/>
      <w:ind w:hanging="567" w:start="1417" w:end="0"/>
      <w:jc w:val="both"/>
    </w:pPr>
    <w:rPr>
      <w:rFonts w:ascii="Times New Roman" w:hAnsi="Times New Roman" w:cs="Times New Roman"/>
      <w:sz w:val="24"/>
    </w:rPr>
  </w:style>
  <w:style w:type="paragraph" w:styleId="ManualHeading1">
    <w:name w:val="Manual Heading 1"/>
    <w:basedOn w:val="Normal"/>
    <w:next w:val="Text1"/>
    <w:qFormat/>
    <w:pPr>
      <w:keepNext w:val="true"/>
      <w:spacing w:lineRule="auto" w:line="240" w:before="360" w:after="120"/>
      <w:ind w:hanging="850" w:start="850" w:end="0"/>
      <w:jc w:val="both"/>
      <w:outlineLvl w:val="0"/>
    </w:pPr>
    <w:rPr>
      <w:rFonts w:ascii="Times New Roman" w:hAnsi="Times New Roman" w:cs="Times New Roman"/>
      <w:b/>
      <w:smallCaps/>
      <w:sz w:val="24"/>
    </w:rPr>
  </w:style>
  <w:style w:type="paragraph" w:styleId="ManualHeading2">
    <w:name w:val="Manual Heading 2"/>
    <w:basedOn w:val="Normal"/>
    <w:next w:val="Text1"/>
    <w:qFormat/>
    <w:pPr>
      <w:keepNext w:val="true"/>
      <w:spacing w:lineRule="auto" w:line="240" w:before="120" w:after="120"/>
      <w:ind w:hanging="850" w:start="850" w:end="0"/>
      <w:jc w:val="both"/>
      <w:outlineLvl w:val="1"/>
    </w:pPr>
    <w:rPr>
      <w:rFonts w:ascii="Times New Roman" w:hAnsi="Times New Roman" w:cs="Times New Roman"/>
      <w:b/>
      <w:sz w:val="24"/>
    </w:rPr>
  </w:style>
  <w:style w:type="paragraph" w:styleId="ManualHeading3">
    <w:name w:val="Manual Heading 3"/>
    <w:basedOn w:val="Normal"/>
    <w:next w:val="Text1"/>
    <w:qFormat/>
    <w:pPr>
      <w:keepNext w:val="true"/>
      <w:spacing w:lineRule="auto" w:line="240" w:before="120" w:after="120"/>
      <w:ind w:hanging="850" w:start="850" w:end="0"/>
      <w:jc w:val="both"/>
      <w:outlineLvl w:val="2"/>
    </w:pPr>
    <w:rPr>
      <w:rFonts w:ascii="Times New Roman" w:hAnsi="Times New Roman" w:cs="Times New Roman"/>
      <w:i/>
      <w:sz w:val="24"/>
    </w:rPr>
  </w:style>
  <w:style w:type="paragraph" w:styleId="ManualHeading4">
    <w:name w:val="Manual Heading 4"/>
    <w:basedOn w:val="Normal"/>
    <w:next w:val="Text1"/>
    <w:qFormat/>
    <w:pPr>
      <w:keepNext w:val="true"/>
      <w:spacing w:lineRule="auto" w:line="240" w:before="120" w:after="120"/>
      <w:ind w:hanging="850" w:start="850" w:end="0"/>
      <w:jc w:val="both"/>
      <w:outlineLvl w:val="3"/>
    </w:pPr>
    <w:rPr>
      <w:rFonts w:ascii="Times New Roman" w:hAnsi="Times New Roman" w:cs="Times New Roman"/>
      <w:sz w:val="24"/>
    </w:rPr>
  </w:style>
  <w:style w:type="paragraph" w:styleId="ChapterTitle">
    <w:name w:val="ChapterTitle"/>
    <w:basedOn w:val="Normal"/>
    <w:next w:val="Normal"/>
    <w:qFormat/>
    <w:pPr>
      <w:keepNext w:val="true"/>
      <w:spacing w:lineRule="auto" w:line="240" w:before="120" w:after="360"/>
      <w:jc w:val="center"/>
    </w:pPr>
    <w:rPr>
      <w:rFonts w:ascii="Times New Roman" w:hAnsi="Times New Roman" w:cs="Times New Roman"/>
      <w:b/>
      <w:sz w:val="32"/>
    </w:rPr>
  </w:style>
  <w:style w:type="paragraph" w:styleId="PartTitle">
    <w:name w:val="PartTitle"/>
    <w:basedOn w:val="Normal"/>
    <w:next w:val="ChapterTitle"/>
    <w:qFormat/>
    <w:pPr>
      <w:keepNext w:val="true"/>
      <w:pageBreakBefore/>
      <w:spacing w:lineRule="auto" w:line="240" w:before="120" w:after="360"/>
      <w:jc w:val="center"/>
    </w:pPr>
    <w:rPr>
      <w:rFonts w:ascii="Times New Roman" w:hAnsi="Times New Roman" w:cs="Times New Roman"/>
      <w:b/>
      <w:sz w:val="36"/>
    </w:rPr>
  </w:style>
  <w:style w:type="paragraph" w:styleId="SectionTitle">
    <w:name w:val="SectionTitle"/>
    <w:basedOn w:val="Normal"/>
    <w:next w:val="Heading1"/>
    <w:qFormat/>
    <w:pPr>
      <w:keepNext w:val="true"/>
      <w:spacing w:lineRule="auto" w:line="240" w:before="120" w:after="360"/>
      <w:jc w:val="center"/>
    </w:pPr>
    <w:rPr>
      <w:rFonts w:ascii="Times New Roman" w:hAnsi="Times New Roman" w:cs="Times New Roman"/>
      <w:b/>
      <w:smallCaps/>
      <w:sz w:val="28"/>
    </w:rPr>
  </w:style>
  <w:style w:type="paragraph" w:styleId="TableTitle">
    <w:name w:val="Table Title"/>
    <w:basedOn w:val="Normal"/>
    <w:next w:val="Normal"/>
    <w:qFormat/>
    <w:pPr>
      <w:spacing w:lineRule="auto" w:line="240" w:before="120" w:after="120"/>
      <w:jc w:val="center"/>
    </w:pPr>
    <w:rPr>
      <w:rFonts w:ascii="Times New Roman" w:hAnsi="Times New Roman" w:cs="Times New Roman"/>
      <w:b/>
      <w:sz w:val="24"/>
    </w:rPr>
  </w:style>
  <w:style w:type="paragraph" w:styleId="Point0number">
    <w:name w:val="Point 0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1number">
    <w:name w:val="Point 1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2number">
    <w:name w:val="Point 2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3number">
    <w:name w:val="Point 3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0letter">
    <w:name w:val="Point 0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1letter">
    <w:name w:val="Point 1 (letter)"/>
    <w:basedOn w:val="Normal"/>
    <w:qFormat/>
    <w:pPr>
      <w:spacing w:lineRule="auto" w:line="240" w:before="120" w:after="120"/>
      <w:jc w:val="both"/>
    </w:pPr>
    <w:rPr>
      <w:rFonts w:ascii="Times New Roman" w:hAnsi="Times New Roman" w:cs="Times New Roman"/>
      <w:sz w:val="24"/>
    </w:rPr>
  </w:style>
  <w:style w:type="paragraph" w:styleId="Point2letter">
    <w:name w:val="Point 2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3letter">
    <w:name w:val="Point 3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4letter">
    <w:name w:val="Point 4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Bullet0">
    <w:name w:val="Bullet 0"/>
    <w:basedOn w:val="Normal"/>
    <w:qFormat/>
    <w:pPr>
      <w:numPr>
        <w:ilvl w:val="0"/>
        <w:numId w:val="16"/>
      </w:numPr>
      <w:spacing w:lineRule="auto" w:line="240" w:before="120" w:after="120"/>
      <w:jc w:val="both"/>
    </w:pPr>
    <w:rPr>
      <w:rFonts w:ascii="Times New Roman" w:hAnsi="Times New Roman" w:cs="Times New Roman"/>
      <w:sz w:val="24"/>
    </w:rPr>
  </w:style>
  <w:style w:type="paragraph" w:styleId="Bullet1">
    <w:name w:val="Bullet 1"/>
    <w:basedOn w:val="Normal"/>
    <w:qFormat/>
    <w:pPr>
      <w:numPr>
        <w:ilvl w:val="0"/>
        <w:numId w:val="18"/>
      </w:numPr>
      <w:spacing w:lineRule="auto" w:line="240" w:before="120" w:after="120"/>
      <w:jc w:val="both"/>
    </w:pPr>
    <w:rPr>
      <w:rFonts w:ascii="Times New Roman" w:hAnsi="Times New Roman" w:cs="Times New Roman"/>
      <w:sz w:val="24"/>
    </w:rPr>
  </w:style>
  <w:style w:type="paragraph" w:styleId="Bullet2">
    <w:name w:val="Bullet 2"/>
    <w:basedOn w:val="Normal"/>
    <w:qFormat/>
    <w:pPr>
      <w:numPr>
        <w:ilvl w:val="0"/>
        <w:numId w:val="19"/>
      </w:numPr>
      <w:spacing w:lineRule="auto" w:line="240" w:before="120" w:after="120"/>
      <w:jc w:val="both"/>
    </w:pPr>
    <w:rPr>
      <w:rFonts w:ascii="Times New Roman" w:hAnsi="Times New Roman" w:cs="Times New Roman"/>
      <w:sz w:val="24"/>
    </w:rPr>
  </w:style>
  <w:style w:type="paragraph" w:styleId="Bullet3">
    <w:name w:val="Bullet 3"/>
    <w:basedOn w:val="Normal"/>
    <w:qFormat/>
    <w:pPr>
      <w:numPr>
        <w:ilvl w:val="0"/>
        <w:numId w:val="12"/>
      </w:numPr>
      <w:spacing w:lineRule="auto" w:line="240" w:before="120" w:after="120"/>
      <w:jc w:val="both"/>
    </w:pPr>
    <w:rPr>
      <w:rFonts w:ascii="Times New Roman" w:hAnsi="Times New Roman" w:cs="Times New Roman"/>
      <w:sz w:val="24"/>
    </w:rPr>
  </w:style>
  <w:style w:type="paragraph" w:styleId="Bullet4">
    <w:name w:val="Bullet 4"/>
    <w:basedOn w:val="Normal"/>
    <w:qFormat/>
    <w:pPr>
      <w:numPr>
        <w:ilvl w:val="0"/>
        <w:numId w:val="17"/>
      </w:numPr>
      <w:spacing w:lineRule="auto" w:line="240" w:before="120" w:after="120"/>
      <w:jc w:val="both"/>
    </w:pPr>
    <w:rPr>
      <w:rFonts w:ascii="Times New Roman" w:hAnsi="Times New Roman" w:cs="Times New Roman"/>
      <w:sz w:val="24"/>
    </w:rPr>
  </w:style>
  <w:style w:type="paragraph" w:styleId="Langue">
    <w:name w:val="Langue"/>
    <w:basedOn w:val="Normal"/>
    <w:next w:val="Rfrenceinterne"/>
    <w:qFormat/>
    <w:pPr>
      <w:spacing w:lineRule="auto" w:line="240" w:before="0" w:after="600"/>
      <w:jc w:val="center"/>
    </w:pPr>
    <w:rPr>
      <w:rFonts w:ascii="Times New Roman" w:hAnsi="Times New Roman" w:cs="Times New Roman"/>
      <w:b/>
      <w:caps/>
      <w:sz w:val="24"/>
    </w:rPr>
  </w:style>
  <w:style w:type="paragraph" w:styleId="Nomdelinstitution">
    <w:name w:val="Nom de l'institution"/>
    <w:basedOn w:val="Normal"/>
    <w:next w:val="Emission"/>
    <w:qFormat/>
    <w:pPr>
      <w:spacing w:lineRule="auto" w:line="240" w:before="0" w:after="0"/>
    </w:pPr>
    <w:rPr>
      <w:rFonts w:ascii="Arial" w:hAnsi="Arial" w:cs="Arial"/>
      <w:sz w:val="24"/>
    </w:rPr>
  </w:style>
  <w:style w:type="paragraph" w:styleId="Emission">
    <w:name w:val="Emission"/>
    <w:basedOn w:val="Normal"/>
    <w:next w:val="Rfrenceinstitutionnelle"/>
    <w:qFormat/>
    <w:pPr>
      <w:spacing w:lineRule="auto" w:line="240" w:before="0" w:after="0"/>
      <w:ind w:hanging="0" w:start="5103" w:end="0"/>
    </w:pPr>
    <w:rPr>
      <w:rFonts w:ascii="Times New Roman" w:hAnsi="Times New Roman" w:cs="Times New Roman"/>
      <w:sz w:val="24"/>
    </w:rPr>
  </w:style>
  <w:style w:type="paragraph" w:styleId="Rfrenceinstitutionnelle">
    <w:name w:val="Référence institutionnelle"/>
    <w:basedOn w:val="Normal"/>
    <w:next w:val="Confidentialit"/>
    <w:qFormat/>
    <w:pPr>
      <w:spacing w:lineRule="auto" w:line="240" w:before="0" w:after="240"/>
      <w:ind w:hanging="0" w:start="5103" w:end="0"/>
    </w:pPr>
    <w:rPr>
      <w:rFonts w:ascii="Times New Roman" w:hAnsi="Times New Roman" w:cs="Times New Roman"/>
      <w:sz w:val="24"/>
    </w:rPr>
  </w:style>
  <w:style w:type="paragraph" w:styleId="Declassification">
    <w:name w:val="Declassification"/>
    <w:basedOn w:val="Normal"/>
    <w:next w:val="Normal"/>
    <w:qFormat/>
    <w:pPr>
      <w:spacing w:lineRule="auto" w:line="240" w:before="0" w:after="0"/>
      <w:jc w:val="both"/>
    </w:pPr>
    <w:rPr>
      <w:rFonts w:ascii="Times New Roman" w:hAnsi="Times New Roman" w:cs="Times New Roman"/>
      <w:sz w:val="24"/>
    </w:rPr>
  </w:style>
  <w:style w:type="paragraph" w:styleId="Disclaimer">
    <w:name w:val="Disclaimer"/>
    <w:basedOn w:val="Normal"/>
    <w:qFormat/>
    <w:pPr>
      <w:pBdr>
        <w:top w:val="single" w:sz="6" w:space="4" w:color="000000"/>
        <w:left w:val="single" w:sz="6" w:space="7" w:color="000000"/>
        <w:bottom w:val="single" w:sz="6" w:space="4" w:color="000000"/>
        <w:right w:val="single" w:sz="6" w:space="7" w:color="000000"/>
      </w:pBdr>
      <w:spacing w:lineRule="auto" w:line="240" w:before="120" w:after="120"/>
      <w:jc w:val="both"/>
    </w:pPr>
    <w:rPr>
      <w:rFonts w:ascii="Times New Roman" w:hAnsi="Times New Roman" w:cs="Times New Roman"/>
      <w:sz w:val="24"/>
    </w:rPr>
  </w:style>
  <w:style w:type="paragraph" w:styleId="SecurityMarking">
    <w:name w:val="SecurityMarking"/>
    <w:basedOn w:val="Normal"/>
    <w:qFormat/>
    <w:pPr>
      <w:spacing w:before="0" w:after="0"/>
      <w:ind w:hanging="0" w:start="5103" w:end="0"/>
    </w:pPr>
    <w:rPr>
      <w:rFonts w:ascii="Times New Roman" w:hAnsi="Times New Roman" w:cs="Times New Roman"/>
      <w:sz w:val="28"/>
    </w:rPr>
  </w:style>
  <w:style w:type="paragraph" w:styleId="DateMarking">
    <w:name w:val="DateMarking"/>
    <w:basedOn w:val="Normal"/>
    <w:qFormat/>
    <w:pPr>
      <w:spacing w:before="0" w:after="0"/>
      <w:ind w:hanging="0" w:start="5103" w:end="0"/>
    </w:pPr>
    <w:rPr>
      <w:rFonts w:ascii="Times New Roman" w:hAnsi="Times New Roman" w:cs="Times New Roman"/>
      <w:i/>
      <w:sz w:val="28"/>
    </w:rPr>
  </w:style>
  <w:style w:type="paragraph" w:styleId="ReleasableTo">
    <w:name w:val="ReleasableTo"/>
    <w:basedOn w:val="Normal"/>
    <w:qFormat/>
    <w:pPr>
      <w:spacing w:before="0" w:after="0"/>
      <w:ind w:hanging="0" w:start="5103" w:end="0"/>
    </w:pPr>
    <w:rPr>
      <w:rFonts w:ascii="Times New Roman" w:hAnsi="Times New Roman" w:cs="Times New Roman"/>
      <w:i/>
      <w:sz w:val="28"/>
    </w:rPr>
  </w:style>
  <w:style w:type="paragraph" w:styleId="Annexetitreexpos">
    <w:name w:val="Annexe titre (exposé)"/>
    <w:basedOn w:val="Normal"/>
    <w:next w:val="Normal"/>
    <w:qFormat/>
    <w:pPr>
      <w:spacing w:lineRule="auto" w:line="240" w:before="120" w:after="120"/>
      <w:jc w:val="center"/>
    </w:pPr>
    <w:rPr>
      <w:rFonts w:ascii="Times New Roman" w:hAnsi="Times New Roman" w:cs="Times New Roman"/>
      <w:b/>
      <w:sz w:val="24"/>
      <w:u w:val="single"/>
    </w:rPr>
  </w:style>
  <w:style w:type="paragraph" w:styleId="Annexetitre">
    <w:name w:val="Annexe titre"/>
    <w:basedOn w:val="Normal"/>
    <w:next w:val="Normal"/>
    <w:qFormat/>
    <w:pPr>
      <w:spacing w:lineRule="auto" w:line="240" w:before="120" w:after="120"/>
      <w:jc w:val="center"/>
    </w:pPr>
    <w:rPr>
      <w:rFonts w:ascii="Times New Roman" w:hAnsi="Times New Roman" w:cs="Times New Roman"/>
      <w:b/>
      <w:sz w:val="24"/>
      <w:u w:val="single"/>
    </w:rPr>
  </w:style>
  <w:style w:type="paragraph" w:styleId="Annexetitrefichefinancire">
    <w:name w:val="Annexe titre (fiche financière)"/>
    <w:basedOn w:val="Normal"/>
    <w:next w:val="Normal"/>
    <w:qFormat/>
    <w:pPr>
      <w:spacing w:lineRule="auto" w:line="240" w:before="120" w:after="120"/>
      <w:jc w:val="center"/>
    </w:pPr>
    <w:rPr>
      <w:rFonts w:ascii="Times New Roman" w:hAnsi="Times New Roman" w:cs="Times New Roman"/>
      <w:b/>
      <w:sz w:val="24"/>
      <w:u w:val="single"/>
    </w:rPr>
  </w:style>
  <w:style w:type="paragraph" w:styleId="Applicationdirecte">
    <w:name w:val="Application directe"/>
    <w:basedOn w:val="Normal"/>
    <w:next w:val="Fait"/>
    <w:qFormat/>
    <w:pPr>
      <w:spacing w:lineRule="auto" w:line="240" w:before="480" w:after="120"/>
      <w:jc w:val="both"/>
    </w:pPr>
    <w:rPr>
      <w:rFonts w:ascii="Times New Roman" w:hAnsi="Times New Roman" w:cs="Times New Roman"/>
      <w:sz w:val="24"/>
    </w:rPr>
  </w:style>
  <w:style w:type="paragraph" w:styleId="Avertissementtitre">
    <w:name w:val="Avertissement titre"/>
    <w:basedOn w:val="Normal"/>
    <w:next w:val="Normal"/>
    <w:qFormat/>
    <w:pPr>
      <w:keepNext w:val="true"/>
      <w:spacing w:lineRule="auto" w:line="240" w:before="480" w:after="120"/>
      <w:jc w:val="both"/>
    </w:pPr>
    <w:rPr>
      <w:rFonts w:ascii="Times New Roman" w:hAnsi="Times New Roman" w:cs="Times New Roman"/>
      <w:sz w:val="24"/>
      <w:u w:val="single"/>
    </w:rPr>
  </w:style>
  <w:style w:type="paragraph" w:styleId="Confidence">
    <w:name w:val="Confidence"/>
    <w:basedOn w:val="Normal"/>
    <w:next w:val="Normal"/>
    <w:qFormat/>
    <w:pPr>
      <w:spacing w:lineRule="auto" w:line="240" w:before="360" w:after="120"/>
      <w:jc w:val="center"/>
    </w:pPr>
    <w:rPr>
      <w:rFonts w:ascii="Times New Roman" w:hAnsi="Times New Roman" w:cs="Times New Roman"/>
      <w:sz w:val="24"/>
    </w:rPr>
  </w:style>
  <w:style w:type="paragraph" w:styleId="Confidentialit">
    <w:name w:val="Confidentialité"/>
    <w:basedOn w:val="Normal"/>
    <w:next w:val="TypedudocumentPagedecouverture"/>
    <w:qFormat/>
    <w:pPr>
      <w:spacing w:lineRule="auto" w:line="240" w:before="240" w:after="240"/>
      <w:ind w:hanging="0" w:start="5103" w:end="0"/>
    </w:pPr>
    <w:rPr>
      <w:rFonts w:ascii="Times New Roman" w:hAnsi="Times New Roman" w:cs="Times New Roman"/>
      <w:i/>
      <w:sz w:val="32"/>
    </w:rPr>
  </w:style>
  <w:style w:type="paragraph" w:styleId="Considrant">
    <w:name w:val="Considérant"/>
    <w:basedOn w:val="Normal"/>
    <w:qFormat/>
    <w:pPr>
      <w:numPr>
        <w:ilvl w:val="0"/>
        <w:numId w:val="22"/>
      </w:numPr>
      <w:spacing w:lineRule="auto" w:line="240" w:before="120" w:after="120"/>
      <w:jc w:val="both"/>
    </w:pPr>
    <w:rPr>
      <w:rFonts w:ascii="Times New Roman" w:hAnsi="Times New Roman" w:cs="Times New Roman"/>
      <w:sz w:val="24"/>
    </w:rPr>
  </w:style>
  <w:style w:type="paragraph" w:styleId="Corrigendum">
    <w:name w:val="Corrigendum"/>
    <w:basedOn w:val="Normal"/>
    <w:next w:val="Normal"/>
    <w:qFormat/>
    <w:pPr>
      <w:spacing w:lineRule="auto" w:line="240" w:before="0" w:after="240"/>
    </w:pPr>
    <w:rPr>
      <w:rFonts w:ascii="Times New Roman" w:hAnsi="Times New Roman" w:cs="Times New Roman"/>
      <w:sz w:val="24"/>
    </w:rPr>
  </w:style>
  <w:style w:type="paragraph" w:styleId="Datedadoption">
    <w:name w:val="Date d'adoption"/>
    <w:basedOn w:val="Normal"/>
    <w:next w:val="IntrtEEE"/>
    <w:qFormat/>
    <w:pPr>
      <w:spacing w:lineRule="auto" w:line="240" w:before="360" w:after="0"/>
      <w:jc w:val="center"/>
    </w:pPr>
    <w:rPr>
      <w:rFonts w:ascii="Times New Roman" w:hAnsi="Times New Roman" w:cs="Times New Roman"/>
      <w:b/>
      <w:sz w:val="24"/>
    </w:rPr>
  </w:style>
  <w:style w:type="paragraph" w:styleId="Exposdesmotifstitre">
    <w:name w:val="Exposé des motifs titre"/>
    <w:basedOn w:val="Normal"/>
    <w:next w:val="Normal"/>
    <w:qFormat/>
    <w:pPr>
      <w:spacing w:lineRule="auto" w:line="240" w:before="120" w:after="120"/>
      <w:jc w:val="center"/>
    </w:pPr>
    <w:rPr>
      <w:rFonts w:ascii="Times New Roman" w:hAnsi="Times New Roman" w:cs="Times New Roman"/>
      <w:b/>
      <w:sz w:val="24"/>
      <w:u w:val="single"/>
    </w:rPr>
  </w:style>
  <w:style w:type="paragraph" w:styleId="Fait">
    <w:name w:val="Fait à"/>
    <w:basedOn w:val="Normal"/>
    <w:next w:val="Institutionquisigne"/>
    <w:qFormat/>
    <w:pPr>
      <w:keepNext w:val="true"/>
      <w:spacing w:lineRule="auto" w:line="240" w:before="120" w:after="0"/>
      <w:jc w:val="both"/>
    </w:pPr>
    <w:rPr>
      <w:rFonts w:ascii="Times New Roman" w:hAnsi="Times New Roman" w:cs="Times New Roman"/>
      <w:sz w:val="24"/>
    </w:rPr>
  </w:style>
  <w:style w:type="paragraph" w:styleId="Formuledadoption">
    <w:name w:val="Formule d'adoption"/>
    <w:basedOn w:val="Normal"/>
    <w:next w:val="Titrearticle"/>
    <w:qFormat/>
    <w:pPr>
      <w:keepNext w:val="true"/>
      <w:spacing w:lineRule="auto" w:line="240" w:before="120" w:after="120"/>
      <w:jc w:val="both"/>
    </w:pPr>
    <w:rPr>
      <w:rFonts w:ascii="Times New Roman" w:hAnsi="Times New Roman" w:cs="Times New Roman"/>
      <w:sz w:val="24"/>
    </w:rPr>
  </w:style>
  <w:style w:type="paragraph" w:styleId="Institutionquiagit">
    <w:name w:val="Institution qui agit"/>
    <w:basedOn w:val="Normal"/>
    <w:next w:val="Normal"/>
    <w:qFormat/>
    <w:pPr>
      <w:keepNext w:val="true"/>
      <w:spacing w:lineRule="auto" w:line="240" w:before="600" w:after="120"/>
      <w:jc w:val="both"/>
    </w:pPr>
    <w:rPr>
      <w:rFonts w:ascii="Times New Roman" w:hAnsi="Times New Roman" w:cs="Times New Roman"/>
      <w:sz w:val="24"/>
    </w:rPr>
  </w:style>
  <w:style w:type="paragraph" w:styleId="Institutionquisigne">
    <w:name w:val="Institution qui signe"/>
    <w:basedOn w:val="Normal"/>
    <w:next w:val="Personnequisigne"/>
    <w:qFormat/>
    <w:pPr>
      <w:keepNext w:val="true"/>
      <w:spacing w:lineRule="auto" w:line="240" w:before="720" w:after="0"/>
      <w:jc w:val="both"/>
    </w:pPr>
    <w:rPr>
      <w:rFonts w:ascii="Times New Roman" w:hAnsi="Times New Roman" w:cs="Times New Roman"/>
      <w:i/>
      <w:sz w:val="24"/>
    </w:rPr>
  </w:style>
  <w:style w:type="paragraph" w:styleId="ManualConsidrant">
    <w:name w:val="Manual Considérant"/>
    <w:basedOn w:val="Normal"/>
    <w:qFormat/>
    <w:pPr>
      <w:spacing w:lineRule="auto" w:line="240" w:before="120" w:after="120"/>
      <w:ind w:hanging="709" w:start="709" w:end="0"/>
      <w:jc w:val="both"/>
    </w:pPr>
    <w:rPr>
      <w:rFonts w:ascii="Times New Roman" w:hAnsi="Times New Roman" w:cs="Times New Roman"/>
      <w:sz w:val="24"/>
    </w:rPr>
  </w:style>
  <w:style w:type="paragraph" w:styleId="Personnequisigne">
    <w:name w:val="Personne qui signe"/>
    <w:basedOn w:val="Normal"/>
    <w:next w:val="Institutionquisigne"/>
    <w:qFormat/>
    <w:pPr>
      <w:spacing w:lineRule="auto" w:line="240" w:before="0" w:after="0"/>
    </w:pPr>
    <w:rPr>
      <w:rFonts w:ascii="Times New Roman" w:hAnsi="Times New Roman" w:cs="Times New Roman"/>
      <w:i/>
      <w:sz w:val="24"/>
    </w:rPr>
  </w:style>
  <w:style w:type="paragraph" w:styleId="Rfrenceinterinstitutionnelle">
    <w:name w:val="Référence interinstitutionnelle"/>
    <w:basedOn w:val="Normal"/>
    <w:next w:val="Statut"/>
    <w:qFormat/>
    <w:pPr>
      <w:spacing w:lineRule="auto" w:line="240" w:before="0" w:after="0"/>
      <w:ind w:hanging="0" w:start="5103" w:end="0"/>
    </w:pPr>
    <w:rPr>
      <w:rFonts w:ascii="Times New Roman" w:hAnsi="Times New Roman" w:cs="Times New Roman"/>
      <w:sz w:val="24"/>
    </w:rPr>
  </w:style>
  <w:style w:type="paragraph" w:styleId="Rfrenceinterne">
    <w:name w:val="Référence interne"/>
    <w:basedOn w:val="Normal"/>
    <w:next w:val="Rfrenceinterinstitutionnelle"/>
    <w:qFormat/>
    <w:pPr>
      <w:spacing w:lineRule="auto" w:line="240" w:before="0" w:after="0"/>
      <w:ind w:hanging="0" w:start="5103" w:end="0"/>
    </w:pPr>
    <w:rPr>
      <w:rFonts w:ascii="Times New Roman" w:hAnsi="Times New Roman" w:cs="Times New Roman"/>
      <w:sz w:val="24"/>
    </w:rPr>
  </w:style>
  <w:style w:type="paragraph" w:styleId="Statut">
    <w:name w:val="Statut"/>
    <w:basedOn w:val="Normal"/>
    <w:next w:val="Typedudocument"/>
    <w:qFormat/>
    <w:pPr>
      <w:spacing w:lineRule="auto" w:line="240" w:before="0" w:after="240"/>
      <w:jc w:val="center"/>
    </w:pPr>
    <w:rPr>
      <w:rFonts w:ascii="Times New Roman" w:hAnsi="Times New Roman" w:cs="Times New Roman"/>
      <w:sz w:val="24"/>
    </w:rPr>
  </w:style>
  <w:style w:type="paragraph" w:styleId="Titrearticle">
    <w:name w:val="Titre article"/>
    <w:basedOn w:val="Normal"/>
    <w:next w:val="Normal"/>
    <w:qFormat/>
    <w:pPr>
      <w:keepNext w:val="true"/>
      <w:spacing w:lineRule="auto" w:line="240" w:before="360" w:after="120"/>
      <w:jc w:val="center"/>
    </w:pPr>
    <w:rPr>
      <w:rFonts w:ascii="Times New Roman" w:hAnsi="Times New Roman" w:cs="Times New Roman"/>
      <w:i/>
      <w:sz w:val="24"/>
    </w:rPr>
  </w:style>
  <w:style w:type="paragraph" w:styleId="Typedudocument">
    <w:name w:val="Type du document"/>
    <w:basedOn w:val="Normal"/>
    <w:next w:val="Accompagnant"/>
    <w:qFormat/>
    <w:pPr>
      <w:spacing w:lineRule="auto" w:line="240" w:before="360" w:after="180"/>
      <w:jc w:val="center"/>
    </w:pPr>
    <w:rPr>
      <w:rFonts w:ascii="Times New Roman" w:hAnsi="Times New Roman" w:cs="Times New Roman"/>
      <w:b/>
      <w:sz w:val="24"/>
    </w:rPr>
  </w:style>
  <w:style w:type="paragraph" w:styleId="Address">
    <w:name w:val="Address"/>
    <w:basedOn w:val="Normal"/>
    <w:next w:val="Normal"/>
    <w:qFormat/>
    <w:pPr>
      <w:keepLines/>
      <w:spacing w:lineRule="auto" w:line="360" w:before="120" w:after="120"/>
      <w:ind w:hanging="0" w:start="3402" w:end="0"/>
    </w:pPr>
    <w:rPr>
      <w:rFonts w:ascii="Times New Roman" w:hAnsi="Times New Roman" w:cs="Times New Roman"/>
      <w:sz w:val="24"/>
    </w:rPr>
  </w:style>
  <w:style w:type="paragraph" w:styleId="Objetexterne">
    <w:name w:val="Objet externe"/>
    <w:basedOn w:val="Normal"/>
    <w:next w:val="Normal"/>
    <w:qFormat/>
    <w:pPr>
      <w:spacing w:lineRule="auto" w:line="240" w:before="120" w:after="120"/>
      <w:jc w:val="both"/>
    </w:pPr>
    <w:rPr>
      <w:rFonts w:ascii="Times New Roman" w:hAnsi="Times New Roman" w:cs="Times New Roman"/>
      <w:i/>
      <w:caps/>
      <w:sz w:val="24"/>
    </w:rPr>
  </w:style>
  <w:style w:type="paragraph" w:styleId="Supertitre">
    <w:name w:val="Supertitre"/>
    <w:basedOn w:val="Normal"/>
    <w:next w:val="Normal"/>
    <w:qFormat/>
    <w:pPr>
      <w:spacing w:lineRule="auto" w:line="240" w:before="0" w:after="600"/>
      <w:jc w:val="center"/>
    </w:pPr>
    <w:rPr>
      <w:rFonts w:ascii="Times New Roman" w:hAnsi="Times New Roman" w:cs="Times New Roman"/>
      <w:b/>
      <w:sz w:val="24"/>
    </w:rPr>
  </w:style>
  <w:style w:type="paragraph" w:styleId="Languesfaisantfoi">
    <w:name w:val="Langues faisant foi"/>
    <w:basedOn w:val="Normal"/>
    <w:next w:val="Normal"/>
    <w:qFormat/>
    <w:pPr>
      <w:spacing w:lineRule="auto" w:line="240" w:before="360" w:after="0"/>
      <w:jc w:val="center"/>
    </w:pPr>
    <w:rPr>
      <w:rFonts w:ascii="Times New Roman" w:hAnsi="Times New Roman" w:cs="Times New Roman"/>
      <w:sz w:val="24"/>
    </w:rPr>
  </w:style>
  <w:style w:type="paragraph" w:styleId="Rfrencecroise">
    <w:name w:val="Référence croisée"/>
    <w:basedOn w:val="Normal"/>
    <w:qFormat/>
    <w:pPr>
      <w:spacing w:lineRule="auto" w:line="240" w:before="0" w:after="0"/>
      <w:jc w:val="center"/>
    </w:pPr>
    <w:rPr>
      <w:rFonts w:ascii="Times New Roman" w:hAnsi="Times New Roman" w:cs="Times New Roman"/>
      <w:sz w:val="24"/>
    </w:rPr>
  </w:style>
  <w:style w:type="paragraph" w:styleId="Fichefinanciretitre">
    <w:name w:val="Fiche financière titre"/>
    <w:basedOn w:val="Normal"/>
    <w:next w:val="Normal"/>
    <w:qFormat/>
    <w:pPr>
      <w:spacing w:lineRule="auto" w:line="240" w:before="120" w:after="120"/>
      <w:jc w:val="center"/>
    </w:pPr>
    <w:rPr>
      <w:rFonts w:ascii="Times New Roman" w:hAnsi="Times New Roman" w:cs="Times New Roman"/>
      <w:b/>
      <w:sz w:val="24"/>
      <w:u w:val="single"/>
    </w:rPr>
  </w:style>
  <w:style w:type="paragraph" w:styleId="DatedadoptionPagedecouverture">
    <w:name w:val="Date d'adoption (Page de couverture)"/>
    <w:basedOn w:val="Datedadoption"/>
    <w:next w:val="IntrtEEEPagedecouverture"/>
    <w:qFormat/>
    <w:pPr/>
    <w:rPr/>
  </w:style>
  <w:style w:type="paragraph" w:styleId="RfrenceinterinstitutionnellePagedecouverture">
    <w:name w:val="Référence interinstitutionnelle (Page de couverture)"/>
    <w:basedOn w:val="Rfrenceinterinstitutionnelle"/>
    <w:next w:val="Confidentialit"/>
    <w:qFormat/>
    <w:pPr/>
    <w:rPr/>
  </w:style>
  <w:style w:type="paragraph" w:styleId="StatutPagedecouverture">
    <w:name w:val="Statut (Page de couverture)"/>
    <w:basedOn w:val="Statut"/>
    <w:next w:val="TypedudocumentPagedecouverture"/>
    <w:qFormat/>
    <w:pPr/>
    <w:rPr/>
  </w:style>
  <w:style w:type="paragraph" w:styleId="TypedudocumentPagedecouverture">
    <w:name w:val="Type du document (Page de couverture)"/>
    <w:basedOn w:val="Typedudocument"/>
    <w:next w:val="AccompagnantPagedecouverture"/>
    <w:qFormat/>
    <w:pPr/>
    <w:rPr/>
  </w:style>
  <w:style w:type="paragraph" w:styleId="Volume">
    <w:name w:val="Volume"/>
    <w:basedOn w:val="Normal"/>
    <w:next w:val="Confidentialit"/>
    <w:qFormat/>
    <w:pPr>
      <w:spacing w:lineRule="auto" w:line="240" w:before="0" w:after="240"/>
      <w:ind w:hanging="0" w:start="5103" w:end="0"/>
    </w:pPr>
    <w:rPr>
      <w:rFonts w:ascii="Times New Roman" w:hAnsi="Times New Roman" w:cs="Times New Roman"/>
      <w:sz w:val="24"/>
    </w:rPr>
  </w:style>
  <w:style w:type="paragraph" w:styleId="IntrtEEE">
    <w:name w:val="Intérêt EEE"/>
    <w:basedOn w:val="Languesfaisantfoi"/>
    <w:next w:val="Normal"/>
    <w:qFormat/>
    <w:pPr>
      <w:spacing w:before="360" w:after="240"/>
    </w:pPr>
    <w:rPr/>
  </w:style>
  <w:style w:type="paragraph" w:styleId="Accompagnant">
    <w:name w:val="Accompagnant"/>
    <w:basedOn w:val="Normal"/>
    <w:next w:val="Typeacteprincipal"/>
    <w:qFormat/>
    <w:pPr>
      <w:spacing w:lineRule="auto" w:line="240" w:before="180" w:after="240"/>
      <w:jc w:val="center"/>
    </w:pPr>
    <w:rPr>
      <w:rFonts w:ascii="Times New Roman" w:hAnsi="Times New Roman" w:cs="Times New Roman"/>
      <w:b/>
      <w:sz w:val="24"/>
    </w:rPr>
  </w:style>
  <w:style w:type="paragraph" w:styleId="Typeacteprincipal">
    <w:name w:val="Type acte principal"/>
    <w:basedOn w:val="Normal"/>
    <w:next w:val="Objetacteprincipal"/>
    <w:qFormat/>
    <w:pPr>
      <w:spacing w:lineRule="auto" w:line="240" w:before="0" w:after="240"/>
      <w:jc w:val="center"/>
    </w:pPr>
    <w:rPr>
      <w:rFonts w:ascii="Times New Roman" w:hAnsi="Times New Roman" w:cs="Times New Roman"/>
      <w:b/>
      <w:sz w:val="24"/>
    </w:rPr>
  </w:style>
  <w:style w:type="paragraph" w:styleId="Objetacteprincipal">
    <w:name w:val="Objet acte principal"/>
    <w:basedOn w:val="Normal"/>
    <w:next w:val="Titrearticle"/>
    <w:qFormat/>
    <w:pPr>
      <w:spacing w:lineRule="auto" w:line="240" w:before="0" w:after="360"/>
      <w:jc w:val="center"/>
    </w:pPr>
    <w:rPr>
      <w:rFonts w:ascii="Times New Roman" w:hAnsi="Times New Roman" w:cs="Times New Roman"/>
      <w:b/>
      <w:sz w:val="24"/>
    </w:rPr>
  </w:style>
  <w:style w:type="paragraph" w:styleId="IntrtEEEPagedecouverture">
    <w:name w:val="Intérêt EEE (Page de couverture)"/>
    <w:basedOn w:val="IntrtEEE"/>
    <w:next w:val="Rfrencecroise"/>
    <w:qFormat/>
    <w:pPr/>
    <w:rPr/>
  </w:style>
  <w:style w:type="paragraph" w:styleId="AccompagnantPagedecouverture">
    <w:name w:val="Accompagnant (Page de couverture)"/>
    <w:basedOn w:val="Accompagnant"/>
    <w:next w:val="TypeacteprincipalPagedecouverture"/>
    <w:qFormat/>
    <w:pPr/>
    <w:rPr/>
  </w:style>
  <w:style w:type="paragraph" w:styleId="TypeacteprincipalPagedecouverture">
    <w:name w:val="Type acte principal (Page de couverture)"/>
    <w:basedOn w:val="Typeacteprincipal"/>
    <w:next w:val="ObjetacteprincipalPagedecouverture"/>
    <w:qFormat/>
    <w:pPr/>
    <w:rPr/>
  </w:style>
  <w:style w:type="paragraph" w:styleId="ObjetacteprincipalPagedecouverture">
    <w:name w:val="Objet acte principal (Page de couverture)"/>
    <w:basedOn w:val="Objetacteprincipal"/>
    <w:next w:val="Rfrencecroise"/>
    <w:qFormat/>
    <w:pPr/>
    <w:rPr/>
  </w:style>
  <w:style w:type="paragraph" w:styleId="LanguesfaisantfoiPagedecouverture">
    <w:name w:val="Langues faisant foi (Page de couverture)"/>
    <w:basedOn w:val="Normal"/>
    <w:next w:val="Normal"/>
    <w:qFormat/>
    <w:pPr>
      <w:spacing w:lineRule="auto" w:line="240" w:before="360" w:after="0"/>
      <w:jc w:val="center"/>
    </w:pPr>
    <w:rPr>
      <w:rFonts w:ascii="Times New Roman" w:hAnsi="Times New Roman" w:cs="Times New Roman"/>
      <w:sz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ages>33</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2021-09-24T20:07:00Z</dcterms:created>
  <dc:creator/>
  <dc:description/>
  <cp:keywords/>
  <dc:language>en-US</dc:language>
  <cp:lastModifiedBy/>
  <dcterms:modified xsi:type="dcterms:W3CDTF">2021-09-24T20:07:00Z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7.0, Build 20190717</vt:lpwstr>
  </property>
  <property fmtid="{D5CDD505-2E9C-101B-9397-08002B2CF9AE}" pid="4" name="Level of sensitivity">
    <vt:lpwstr>Standard treatment</vt:lpwstr>
  </property>
</Properties>
</file>